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A080D" w14:textId="6E52C4A9" w:rsidR="0083692A" w:rsidRPr="009469C1" w:rsidRDefault="0083692A" w:rsidP="0083692A"/>
    <w:p w14:paraId="17B2C38B" w14:textId="77777777" w:rsidR="009469C1" w:rsidRPr="009469C1" w:rsidRDefault="009469C1" w:rsidP="009469C1">
      <w:pPr>
        <w:pStyle w:val="En-tte"/>
        <w:jc w:val="center"/>
        <w:rPr>
          <w:b/>
        </w:rPr>
      </w:pPr>
      <w:r w:rsidRPr="009469C1">
        <w:rPr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0045D79" wp14:editId="1B0E559B">
            <wp:simplePos x="0" y="0"/>
            <wp:positionH relativeFrom="page">
              <wp:posOffset>229998</wp:posOffset>
            </wp:positionH>
            <wp:positionV relativeFrom="page">
              <wp:posOffset>111760</wp:posOffset>
            </wp:positionV>
            <wp:extent cx="746628" cy="749837"/>
            <wp:effectExtent l="0" t="0" r="0" b="0"/>
            <wp:wrapNone/>
            <wp:docPr id="1" name="Image 1" descr="Une image contenant Rectangle, Graphique, capture d’écran, Caractère color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Rectangle, Graphique, capture d’écran, Caractère coloré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46628" cy="749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69C1">
        <w:rPr>
          <w:b/>
        </w:rPr>
        <w:t>Centre De Gestion de la fonction publique territoriale du Nord</w:t>
      </w:r>
    </w:p>
    <w:p w14:paraId="6F83A02E" w14:textId="77777777" w:rsidR="0083692A" w:rsidRPr="009469C1" w:rsidRDefault="0083692A" w:rsidP="0083692A"/>
    <w:p w14:paraId="27A4ED2A" w14:textId="77777777" w:rsidR="0083692A" w:rsidRPr="009469C1" w:rsidRDefault="0083692A" w:rsidP="0083692A"/>
    <w:p w14:paraId="7D2B1FD3" w14:textId="77777777" w:rsidR="0083692A" w:rsidRPr="009469C1" w:rsidRDefault="0083692A" w:rsidP="0083692A"/>
    <w:p w14:paraId="7A70CB00" w14:textId="77777777" w:rsidR="0083692A" w:rsidRPr="009469C1" w:rsidRDefault="0083692A" w:rsidP="0083692A"/>
    <w:p w14:paraId="5428A7D3" w14:textId="77777777" w:rsidR="0083692A" w:rsidRPr="009469C1" w:rsidRDefault="0083692A" w:rsidP="0083692A"/>
    <w:p w14:paraId="36BB27FD" w14:textId="77777777" w:rsidR="0083692A" w:rsidRPr="009469C1" w:rsidRDefault="0083692A" w:rsidP="0083692A"/>
    <w:p w14:paraId="44F9E2B0" w14:textId="77777777" w:rsidR="0083692A" w:rsidRPr="009469C1" w:rsidRDefault="0083692A" w:rsidP="0083692A"/>
    <w:p w14:paraId="417A423E" w14:textId="77777777" w:rsidR="0083692A" w:rsidRDefault="0083692A" w:rsidP="0083692A"/>
    <w:p w14:paraId="18F86898" w14:textId="77777777" w:rsidR="009469C1" w:rsidRDefault="009469C1" w:rsidP="0083692A"/>
    <w:p w14:paraId="577364BC" w14:textId="77777777" w:rsidR="009469C1" w:rsidRDefault="009469C1" w:rsidP="0083692A"/>
    <w:p w14:paraId="070599FC" w14:textId="77777777" w:rsidR="009469C1" w:rsidRDefault="009469C1" w:rsidP="0083692A"/>
    <w:p w14:paraId="466FBEF7" w14:textId="77777777" w:rsidR="009469C1" w:rsidRPr="009469C1" w:rsidRDefault="009469C1" w:rsidP="0083692A"/>
    <w:p w14:paraId="0A4C293B" w14:textId="227AA358" w:rsidR="0083692A" w:rsidRPr="009469C1" w:rsidRDefault="00F22AD8" w:rsidP="00F22AD8">
      <w:pPr>
        <w:jc w:val="center"/>
        <w:rPr>
          <w:rFonts w:cs="Arial"/>
          <w:b/>
          <w:color w:val="A5A5A5" w:themeColor="accent3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469C1">
        <w:rPr>
          <w:rFonts w:cs="Arial"/>
          <w:b/>
          <w:color w:val="A5A5A5" w:themeColor="accent3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Convention d’adhésion aux missions optionnelles proposées aux collectivités et établissements </w:t>
      </w:r>
      <w:r w:rsidR="00143D72" w:rsidRPr="009469C1">
        <w:rPr>
          <w:rFonts w:cs="Arial"/>
          <w:b/>
          <w:color w:val="A5A5A5" w:themeColor="accent3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non </w:t>
      </w:r>
      <w:r w:rsidRPr="009469C1">
        <w:rPr>
          <w:rFonts w:cs="Arial"/>
          <w:b/>
          <w:color w:val="A5A5A5" w:themeColor="accent3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affiliés au </w:t>
      </w:r>
      <w:r w:rsidR="004D553B" w:rsidRPr="009469C1">
        <w:rPr>
          <w:rFonts w:cs="Arial"/>
          <w:b/>
          <w:color w:val="A5A5A5" w:themeColor="accent3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CDG 59</w:t>
      </w:r>
    </w:p>
    <w:p w14:paraId="26D674B5" w14:textId="3DCF84B2" w:rsidR="0083692A" w:rsidRPr="009469C1" w:rsidRDefault="008E4595" w:rsidP="00AB6A8B">
      <w:pPr>
        <w:jc w:val="center"/>
        <w:rPr>
          <w:rFonts w:cs="Arial"/>
          <w:b/>
          <w:bCs/>
          <w:color w:val="A5A5A5" w:themeColor="accent3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469C1">
        <w:rPr>
          <w:rFonts w:cs="Arial"/>
          <w:b/>
          <w:bCs/>
          <w:color w:val="A5A5A5" w:themeColor="accent3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Accès aux dispositifs d’accompagnement des agents dans le champ de la </w:t>
      </w:r>
      <w:r w:rsidR="00AB6A8B" w:rsidRPr="009469C1">
        <w:rPr>
          <w:rFonts w:cs="Arial"/>
          <w:b/>
          <w:bCs/>
          <w:color w:val="A5A5A5" w:themeColor="accent3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santé</w:t>
      </w:r>
    </w:p>
    <w:p w14:paraId="0C48070B" w14:textId="77777777" w:rsidR="0083692A" w:rsidRPr="009469C1" w:rsidRDefault="0083692A" w:rsidP="0083692A">
      <w:pPr>
        <w:rPr>
          <w:rFonts w:cs="Arial"/>
          <w:sz w:val="22"/>
        </w:rPr>
      </w:pPr>
    </w:p>
    <w:p w14:paraId="4242E8D1" w14:textId="77777777" w:rsidR="0083692A" w:rsidRPr="009469C1" w:rsidRDefault="0083692A" w:rsidP="0083692A">
      <w:pPr>
        <w:rPr>
          <w:rFonts w:cs="Arial"/>
          <w:sz w:val="22"/>
        </w:rPr>
      </w:pPr>
    </w:p>
    <w:p w14:paraId="1BEA8021" w14:textId="77777777" w:rsidR="0083692A" w:rsidRPr="009469C1" w:rsidRDefault="0083692A" w:rsidP="0083692A">
      <w:pPr>
        <w:rPr>
          <w:rFonts w:cs="Arial"/>
          <w:sz w:val="22"/>
        </w:rPr>
      </w:pPr>
    </w:p>
    <w:p w14:paraId="0E42428A" w14:textId="77777777" w:rsidR="0083692A" w:rsidRPr="009469C1" w:rsidRDefault="0083692A" w:rsidP="0083692A">
      <w:pPr>
        <w:rPr>
          <w:rFonts w:cs="Arial"/>
          <w:sz w:val="22"/>
        </w:rPr>
      </w:pPr>
    </w:p>
    <w:p w14:paraId="1EFF65BA" w14:textId="77777777" w:rsidR="0083692A" w:rsidRPr="009469C1" w:rsidRDefault="0083692A" w:rsidP="0083692A">
      <w:pPr>
        <w:rPr>
          <w:rFonts w:cs="Arial"/>
          <w:sz w:val="22"/>
        </w:rPr>
      </w:pPr>
    </w:p>
    <w:p w14:paraId="46EE4FE2" w14:textId="77777777" w:rsidR="0083692A" w:rsidRPr="009469C1" w:rsidRDefault="0083692A" w:rsidP="0083692A">
      <w:pPr>
        <w:rPr>
          <w:rFonts w:cs="Arial"/>
          <w:sz w:val="22"/>
        </w:rPr>
      </w:pPr>
    </w:p>
    <w:p w14:paraId="3F7B7D99" w14:textId="77777777" w:rsidR="0083692A" w:rsidRPr="009469C1" w:rsidRDefault="0083692A" w:rsidP="0083692A"/>
    <w:p w14:paraId="7F8E3104" w14:textId="77777777" w:rsidR="00F22AD8" w:rsidRPr="009469C1" w:rsidRDefault="00F22AD8">
      <w:pPr>
        <w:autoSpaceDE/>
        <w:autoSpaceDN/>
        <w:adjustRightInd/>
        <w:spacing w:after="160" w:line="259" w:lineRule="auto"/>
        <w:jc w:val="left"/>
      </w:pPr>
      <w:r w:rsidRPr="009469C1">
        <w:br w:type="page"/>
      </w:r>
    </w:p>
    <w:p w14:paraId="725AE658" w14:textId="77777777" w:rsidR="009469C1" w:rsidRDefault="009469C1" w:rsidP="00863C07">
      <w:pPr>
        <w:rPr>
          <w:rFonts w:cs="Arial"/>
          <w:sz w:val="22"/>
        </w:rPr>
      </w:pPr>
    </w:p>
    <w:p w14:paraId="5702E2CC" w14:textId="77777777" w:rsidR="009469C1" w:rsidRDefault="009469C1" w:rsidP="00863C07">
      <w:pPr>
        <w:rPr>
          <w:rFonts w:cs="Arial"/>
          <w:sz w:val="22"/>
        </w:rPr>
      </w:pPr>
    </w:p>
    <w:p w14:paraId="7E6C10A0" w14:textId="77777777" w:rsidR="009469C1" w:rsidRDefault="009469C1" w:rsidP="00863C07">
      <w:pPr>
        <w:rPr>
          <w:rFonts w:cs="Arial"/>
          <w:sz w:val="22"/>
        </w:rPr>
      </w:pPr>
    </w:p>
    <w:p w14:paraId="4C3FA73F" w14:textId="24C3965C" w:rsidR="002A3FBC" w:rsidRPr="009469C1" w:rsidRDefault="002A3FBC" w:rsidP="00863C07">
      <w:pPr>
        <w:rPr>
          <w:rFonts w:cs="Arial"/>
          <w:sz w:val="22"/>
        </w:rPr>
      </w:pPr>
      <w:r w:rsidRPr="009469C1">
        <w:rPr>
          <w:rFonts w:cs="Arial"/>
          <w:sz w:val="22"/>
        </w:rPr>
        <w:t xml:space="preserve">Entre le Centre de gestion de la Fonction Publique Territoriale du Département du </w:t>
      </w:r>
      <w:proofErr w:type="gramStart"/>
      <w:r w:rsidRPr="009469C1">
        <w:rPr>
          <w:rFonts w:cs="Arial"/>
          <w:sz w:val="22"/>
        </w:rPr>
        <w:t>Nord»</w:t>
      </w:r>
      <w:proofErr w:type="gramEnd"/>
      <w:r w:rsidRPr="009469C1">
        <w:rPr>
          <w:rFonts w:cs="Arial"/>
          <w:sz w:val="22"/>
        </w:rPr>
        <w:t xml:space="preserve">, dont le siège est situé 14 rue Jeanne Maillotte - CS 71222- 59 013 Lille, représenté par Monsieur Éric DURAND, agissant en vertu de la délibération du Conseil d’administration en date du </w:t>
      </w:r>
      <w:r w:rsidR="00ED6566" w:rsidRPr="009469C1">
        <w:rPr>
          <w:rFonts w:cs="Arial"/>
          <w:sz w:val="22"/>
        </w:rPr>
        <w:t>16 octobre 2023</w:t>
      </w:r>
      <w:r w:rsidRPr="009469C1">
        <w:rPr>
          <w:rFonts w:cs="Arial"/>
          <w:sz w:val="22"/>
        </w:rPr>
        <w:t>.</w:t>
      </w:r>
    </w:p>
    <w:p w14:paraId="7D34CF12" w14:textId="77777777" w:rsidR="008E4595" w:rsidRPr="009469C1" w:rsidRDefault="008E4595" w:rsidP="008E4595">
      <w:pPr>
        <w:rPr>
          <w:rFonts w:cs="Arial"/>
          <w:sz w:val="22"/>
        </w:rPr>
      </w:pPr>
    </w:p>
    <w:p w14:paraId="6DF8D99A" w14:textId="77777777" w:rsidR="008E4595" w:rsidRPr="009469C1" w:rsidRDefault="008E4595" w:rsidP="008E4595">
      <w:pPr>
        <w:rPr>
          <w:rFonts w:cs="Arial"/>
          <w:sz w:val="22"/>
        </w:rPr>
      </w:pPr>
    </w:p>
    <w:p w14:paraId="7EC0D0B8" w14:textId="77777777" w:rsidR="008E4595" w:rsidRPr="009469C1" w:rsidRDefault="008E4595" w:rsidP="008E4595">
      <w:pPr>
        <w:rPr>
          <w:rFonts w:cs="Arial"/>
          <w:sz w:val="22"/>
        </w:rPr>
      </w:pPr>
    </w:p>
    <w:p w14:paraId="461412B6" w14:textId="36754D11" w:rsidR="008E4595" w:rsidRPr="009469C1" w:rsidRDefault="008E4595" w:rsidP="008E4595">
      <w:pPr>
        <w:rPr>
          <w:rFonts w:cs="Arial"/>
          <w:sz w:val="22"/>
        </w:rPr>
      </w:pPr>
      <w:r w:rsidRPr="009469C1">
        <w:rPr>
          <w:rFonts w:cs="Arial"/>
          <w:sz w:val="22"/>
        </w:rPr>
        <w:t xml:space="preserve">Ci-après </w:t>
      </w:r>
      <w:r w:rsidR="00934D49" w:rsidRPr="009469C1">
        <w:rPr>
          <w:rFonts w:cs="Arial"/>
          <w:sz w:val="22"/>
        </w:rPr>
        <w:t>dénommer</w:t>
      </w:r>
      <w:r w:rsidRPr="009469C1">
        <w:rPr>
          <w:rFonts w:cs="Arial"/>
          <w:sz w:val="22"/>
        </w:rPr>
        <w:t xml:space="preserve"> le </w:t>
      </w:r>
      <w:r w:rsidR="004D553B" w:rsidRPr="009469C1">
        <w:rPr>
          <w:rFonts w:cs="Arial"/>
          <w:sz w:val="22"/>
        </w:rPr>
        <w:t>CDG 59</w:t>
      </w:r>
      <w:r w:rsidRPr="009469C1">
        <w:rPr>
          <w:rFonts w:cs="Arial"/>
          <w:sz w:val="22"/>
        </w:rPr>
        <w:t xml:space="preserve"> </w:t>
      </w:r>
    </w:p>
    <w:p w14:paraId="0B1EB14E" w14:textId="77777777" w:rsidR="008E4595" w:rsidRPr="009469C1" w:rsidRDefault="008E4595" w:rsidP="008E4595">
      <w:pPr>
        <w:rPr>
          <w:rFonts w:cs="Arial"/>
          <w:sz w:val="22"/>
        </w:rPr>
      </w:pPr>
    </w:p>
    <w:p w14:paraId="3384A101" w14:textId="77777777" w:rsidR="008E4595" w:rsidRPr="009469C1" w:rsidRDefault="008E4595" w:rsidP="008E4595">
      <w:pPr>
        <w:rPr>
          <w:rFonts w:cs="Arial"/>
          <w:sz w:val="22"/>
        </w:rPr>
      </w:pPr>
    </w:p>
    <w:p w14:paraId="02216887" w14:textId="77777777" w:rsidR="008E4595" w:rsidRPr="009469C1" w:rsidRDefault="008E4595" w:rsidP="008E4595">
      <w:pPr>
        <w:rPr>
          <w:rFonts w:cs="Arial"/>
          <w:sz w:val="22"/>
        </w:rPr>
      </w:pPr>
    </w:p>
    <w:p w14:paraId="56B3A941" w14:textId="77777777" w:rsidR="008E4595" w:rsidRPr="009469C1" w:rsidRDefault="008E4595" w:rsidP="008E4595">
      <w:pPr>
        <w:rPr>
          <w:rFonts w:cs="Arial"/>
          <w:sz w:val="22"/>
        </w:rPr>
      </w:pPr>
      <w:r w:rsidRPr="009469C1">
        <w:rPr>
          <w:rFonts w:cs="Arial"/>
          <w:sz w:val="22"/>
        </w:rPr>
        <w:t xml:space="preserve">Et </w:t>
      </w:r>
    </w:p>
    <w:p w14:paraId="457114E2" w14:textId="77777777" w:rsidR="008E4595" w:rsidRPr="009469C1" w:rsidRDefault="008E4595" w:rsidP="008E4595">
      <w:pPr>
        <w:rPr>
          <w:rFonts w:cs="Arial"/>
          <w:sz w:val="22"/>
        </w:rPr>
      </w:pPr>
    </w:p>
    <w:p w14:paraId="1E3AECA8" w14:textId="77777777" w:rsidR="008E4595" w:rsidRPr="009469C1" w:rsidRDefault="008E4595" w:rsidP="008E4595">
      <w:pPr>
        <w:rPr>
          <w:rFonts w:cs="Arial"/>
          <w:sz w:val="22"/>
        </w:rPr>
      </w:pPr>
      <w:r w:rsidRPr="009469C1">
        <w:rPr>
          <w:rFonts w:cs="Arial"/>
          <w:sz w:val="22"/>
        </w:rPr>
        <w:t>La collectivité / établissement public :</w:t>
      </w:r>
    </w:p>
    <w:p w14:paraId="5595B89B" w14:textId="77777777" w:rsidR="008E4595" w:rsidRPr="009469C1" w:rsidRDefault="008E4595" w:rsidP="008E4595">
      <w:pPr>
        <w:rPr>
          <w:rFonts w:cs="Arial"/>
          <w:sz w:val="22"/>
        </w:rPr>
      </w:pPr>
    </w:p>
    <w:p w14:paraId="6BD7E866" w14:textId="77777777" w:rsidR="008E4595" w:rsidRPr="009469C1" w:rsidRDefault="008E4595" w:rsidP="008E4595">
      <w:pPr>
        <w:rPr>
          <w:rFonts w:cs="Arial"/>
          <w:sz w:val="22"/>
        </w:rPr>
      </w:pPr>
    </w:p>
    <w:p w14:paraId="54FB85F1" w14:textId="77777777" w:rsidR="008E4595" w:rsidRPr="009469C1" w:rsidRDefault="008E4595" w:rsidP="008E4595">
      <w:pPr>
        <w:rPr>
          <w:rFonts w:cs="Arial"/>
          <w:sz w:val="22"/>
        </w:rPr>
      </w:pPr>
    </w:p>
    <w:p w14:paraId="504E562D" w14:textId="77777777" w:rsidR="008E4595" w:rsidRPr="009469C1" w:rsidRDefault="008E4595" w:rsidP="008E4595">
      <w:pPr>
        <w:rPr>
          <w:rFonts w:cs="Arial"/>
          <w:sz w:val="22"/>
        </w:rPr>
      </w:pPr>
      <w:r w:rsidRPr="009469C1">
        <w:rPr>
          <w:rFonts w:cs="Arial"/>
          <w:sz w:val="22"/>
        </w:rPr>
        <w:t>Dont le siège est situé au :</w:t>
      </w:r>
    </w:p>
    <w:p w14:paraId="684CDE34" w14:textId="77777777" w:rsidR="008E4595" w:rsidRPr="009469C1" w:rsidRDefault="008E4595" w:rsidP="008E4595">
      <w:pPr>
        <w:rPr>
          <w:rFonts w:cs="Arial"/>
          <w:sz w:val="22"/>
        </w:rPr>
      </w:pPr>
    </w:p>
    <w:p w14:paraId="67F55345" w14:textId="77777777" w:rsidR="008E4595" w:rsidRPr="009469C1" w:rsidRDefault="008E4595" w:rsidP="008E4595">
      <w:pPr>
        <w:rPr>
          <w:rFonts w:cs="Arial"/>
          <w:sz w:val="22"/>
        </w:rPr>
      </w:pPr>
    </w:p>
    <w:p w14:paraId="49886ADD" w14:textId="77777777" w:rsidR="008E4595" w:rsidRPr="009469C1" w:rsidRDefault="008E4595" w:rsidP="008E4595">
      <w:pPr>
        <w:rPr>
          <w:rFonts w:cs="Arial"/>
          <w:sz w:val="22"/>
        </w:rPr>
      </w:pPr>
    </w:p>
    <w:p w14:paraId="1178703D" w14:textId="77777777" w:rsidR="008E4595" w:rsidRPr="009469C1" w:rsidRDefault="008E4595" w:rsidP="008E4595">
      <w:pPr>
        <w:rPr>
          <w:rFonts w:cs="Arial"/>
          <w:sz w:val="22"/>
        </w:rPr>
      </w:pPr>
      <w:r w:rsidRPr="009469C1">
        <w:rPr>
          <w:rFonts w:cs="Arial"/>
          <w:sz w:val="22"/>
        </w:rPr>
        <w:t>N° SIRET :</w:t>
      </w:r>
    </w:p>
    <w:p w14:paraId="5476805E" w14:textId="77777777" w:rsidR="008E4595" w:rsidRPr="009469C1" w:rsidRDefault="008E4595" w:rsidP="008E4595">
      <w:pPr>
        <w:rPr>
          <w:rFonts w:cs="Arial"/>
          <w:sz w:val="22"/>
        </w:rPr>
      </w:pPr>
    </w:p>
    <w:p w14:paraId="6127766E" w14:textId="77777777" w:rsidR="008E4595" w:rsidRPr="009469C1" w:rsidRDefault="008E4595" w:rsidP="008E4595">
      <w:pPr>
        <w:rPr>
          <w:rFonts w:cs="Arial"/>
          <w:sz w:val="22"/>
        </w:rPr>
      </w:pPr>
    </w:p>
    <w:p w14:paraId="41F74376" w14:textId="77777777" w:rsidR="008E4595" w:rsidRPr="009469C1" w:rsidRDefault="008E4595" w:rsidP="008E4595">
      <w:pPr>
        <w:rPr>
          <w:rFonts w:cs="Arial"/>
          <w:sz w:val="22"/>
        </w:rPr>
      </w:pPr>
    </w:p>
    <w:p w14:paraId="45E3D61E" w14:textId="77777777" w:rsidR="008E4595" w:rsidRPr="009469C1" w:rsidRDefault="008E4595" w:rsidP="008E4595">
      <w:pPr>
        <w:rPr>
          <w:rFonts w:cs="Arial"/>
          <w:sz w:val="22"/>
        </w:rPr>
      </w:pPr>
      <w:r w:rsidRPr="009469C1">
        <w:rPr>
          <w:rFonts w:cs="Arial"/>
          <w:sz w:val="22"/>
        </w:rPr>
        <w:t>Représenté(e) par :</w:t>
      </w:r>
    </w:p>
    <w:p w14:paraId="509A04FB" w14:textId="77777777" w:rsidR="008E4595" w:rsidRPr="009469C1" w:rsidRDefault="008E4595" w:rsidP="008E4595">
      <w:pPr>
        <w:rPr>
          <w:rFonts w:cs="Arial"/>
          <w:sz w:val="22"/>
        </w:rPr>
      </w:pPr>
    </w:p>
    <w:p w14:paraId="3FBDE0FC" w14:textId="77777777" w:rsidR="008E4595" w:rsidRPr="009469C1" w:rsidRDefault="008E4595" w:rsidP="008E4595">
      <w:pPr>
        <w:rPr>
          <w:rFonts w:cs="Arial"/>
          <w:sz w:val="22"/>
        </w:rPr>
      </w:pPr>
    </w:p>
    <w:p w14:paraId="726CE82E" w14:textId="77777777" w:rsidR="008E4595" w:rsidRPr="009469C1" w:rsidRDefault="008E4595" w:rsidP="008E4595">
      <w:pPr>
        <w:rPr>
          <w:rFonts w:cs="Arial"/>
          <w:sz w:val="22"/>
        </w:rPr>
      </w:pPr>
    </w:p>
    <w:p w14:paraId="5714153C" w14:textId="77777777" w:rsidR="008E4595" w:rsidRPr="009469C1" w:rsidRDefault="008E4595" w:rsidP="008E4595">
      <w:pPr>
        <w:rPr>
          <w:rFonts w:cs="Arial"/>
          <w:sz w:val="22"/>
        </w:rPr>
      </w:pPr>
      <w:r w:rsidRPr="009469C1">
        <w:rPr>
          <w:rFonts w:cs="Arial"/>
          <w:sz w:val="22"/>
        </w:rPr>
        <w:t>Habilité(e) par délibération de l’organe délibérant en date du :</w:t>
      </w:r>
    </w:p>
    <w:p w14:paraId="387F879F" w14:textId="77777777" w:rsidR="008E4595" w:rsidRPr="009469C1" w:rsidRDefault="008E4595" w:rsidP="008E4595">
      <w:pPr>
        <w:rPr>
          <w:rFonts w:cs="Arial"/>
          <w:sz w:val="22"/>
        </w:rPr>
      </w:pPr>
    </w:p>
    <w:p w14:paraId="0F82BD06" w14:textId="77777777" w:rsidR="008E4595" w:rsidRPr="009469C1" w:rsidRDefault="008E4595" w:rsidP="008E4595">
      <w:pPr>
        <w:rPr>
          <w:rFonts w:cs="Arial"/>
          <w:sz w:val="22"/>
        </w:rPr>
      </w:pPr>
    </w:p>
    <w:p w14:paraId="259A55FD" w14:textId="77777777" w:rsidR="008E4595" w:rsidRPr="009469C1" w:rsidRDefault="008E4595" w:rsidP="008E4595">
      <w:pPr>
        <w:rPr>
          <w:rFonts w:cs="Arial"/>
          <w:sz w:val="22"/>
        </w:rPr>
      </w:pPr>
    </w:p>
    <w:p w14:paraId="2CE19757" w14:textId="77777777" w:rsidR="008E4595" w:rsidRPr="009469C1" w:rsidRDefault="008E4595" w:rsidP="008E4595">
      <w:pPr>
        <w:rPr>
          <w:rFonts w:cs="Arial"/>
          <w:sz w:val="22"/>
        </w:rPr>
      </w:pPr>
      <w:r w:rsidRPr="009469C1">
        <w:rPr>
          <w:rFonts w:cs="Arial"/>
          <w:sz w:val="22"/>
        </w:rPr>
        <w:t>Ci-après dénommé la collectivité / l’établissement</w:t>
      </w:r>
    </w:p>
    <w:p w14:paraId="6577A292" w14:textId="77777777" w:rsidR="008E4595" w:rsidRPr="009469C1" w:rsidRDefault="008E4595" w:rsidP="008E4595">
      <w:pPr>
        <w:rPr>
          <w:rFonts w:cs="Arial"/>
          <w:sz w:val="22"/>
        </w:rPr>
      </w:pPr>
    </w:p>
    <w:p w14:paraId="39A49D32" w14:textId="77777777" w:rsidR="008E4595" w:rsidRPr="009469C1" w:rsidRDefault="008E4595" w:rsidP="008E4595">
      <w:pPr>
        <w:rPr>
          <w:rFonts w:cs="Arial"/>
          <w:sz w:val="22"/>
        </w:rPr>
      </w:pPr>
    </w:p>
    <w:p w14:paraId="7B2F5F0D" w14:textId="77777777" w:rsidR="008E4595" w:rsidRPr="009469C1" w:rsidRDefault="008E4595" w:rsidP="008E4595">
      <w:pPr>
        <w:rPr>
          <w:rFonts w:cs="Arial"/>
          <w:sz w:val="22"/>
        </w:rPr>
      </w:pPr>
    </w:p>
    <w:p w14:paraId="635E7865" w14:textId="77777777" w:rsidR="008E4595" w:rsidRPr="009469C1" w:rsidRDefault="008E4595" w:rsidP="008E4595">
      <w:pPr>
        <w:rPr>
          <w:rFonts w:cs="Arial"/>
          <w:sz w:val="22"/>
        </w:rPr>
      </w:pPr>
    </w:p>
    <w:p w14:paraId="3A3DB281" w14:textId="77777777" w:rsidR="008E4595" w:rsidRPr="009469C1" w:rsidRDefault="008E4595" w:rsidP="008E4595">
      <w:pPr>
        <w:rPr>
          <w:rFonts w:eastAsiaTheme="majorEastAsia" w:cs="Arial"/>
          <w:color w:val="2E74B5" w:themeColor="accent1" w:themeShade="BF"/>
          <w:sz w:val="22"/>
        </w:rPr>
      </w:pPr>
      <w:r w:rsidRPr="009469C1">
        <w:rPr>
          <w:rFonts w:cs="Arial"/>
          <w:sz w:val="22"/>
        </w:rPr>
        <w:br w:type="page"/>
      </w:r>
    </w:p>
    <w:p w14:paraId="6C364DC0" w14:textId="77777777" w:rsidR="009469C1" w:rsidRDefault="009469C1" w:rsidP="009A3B2A">
      <w:pPr>
        <w:rPr>
          <w:rFonts w:cs="Arial"/>
          <w:b/>
          <w:bCs/>
          <w:sz w:val="28"/>
          <w:szCs w:val="22"/>
        </w:rPr>
      </w:pPr>
    </w:p>
    <w:p w14:paraId="2A62A7A2" w14:textId="77777777" w:rsidR="009469C1" w:rsidRDefault="009469C1" w:rsidP="009A3B2A">
      <w:pPr>
        <w:rPr>
          <w:rFonts w:cs="Arial"/>
          <w:b/>
          <w:bCs/>
          <w:sz w:val="28"/>
          <w:szCs w:val="22"/>
        </w:rPr>
      </w:pPr>
    </w:p>
    <w:p w14:paraId="2BC8C927" w14:textId="77777777" w:rsidR="009469C1" w:rsidRDefault="009469C1" w:rsidP="009A3B2A">
      <w:pPr>
        <w:rPr>
          <w:rFonts w:cs="Arial"/>
          <w:b/>
          <w:bCs/>
          <w:sz w:val="28"/>
          <w:szCs w:val="22"/>
        </w:rPr>
      </w:pPr>
    </w:p>
    <w:p w14:paraId="67C6DF51" w14:textId="25C5AE9F" w:rsidR="009A3B2A" w:rsidRPr="009469C1" w:rsidRDefault="009A3B2A" w:rsidP="009A3B2A">
      <w:pPr>
        <w:rPr>
          <w:rFonts w:cs="Arial"/>
          <w:b/>
          <w:bCs/>
          <w:sz w:val="28"/>
          <w:szCs w:val="22"/>
        </w:rPr>
      </w:pPr>
      <w:r w:rsidRPr="009469C1">
        <w:rPr>
          <w:rFonts w:cs="Arial"/>
          <w:b/>
          <w:bCs/>
          <w:sz w:val="28"/>
          <w:szCs w:val="22"/>
        </w:rPr>
        <w:t>Dispositions générales</w:t>
      </w:r>
    </w:p>
    <w:p w14:paraId="537208BB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58C5D3C3" w14:textId="77777777" w:rsidR="009A3B2A" w:rsidRPr="009469C1" w:rsidRDefault="009A3B2A" w:rsidP="009A3B2A">
      <w:pPr>
        <w:pStyle w:val="Titre1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Article 1 : Objet de la convention</w:t>
      </w:r>
    </w:p>
    <w:p w14:paraId="3859B3E9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6457C3D7" w14:textId="66DA61BD" w:rsidR="009A3B2A" w:rsidRPr="009469C1" w:rsidRDefault="009A3B2A" w:rsidP="009A3B2A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La présente convention a pour objet de définir les conditions générales d’accès aux missions optionnelles déployées par le </w:t>
      </w:r>
      <w:r w:rsidR="004D553B" w:rsidRPr="009469C1">
        <w:rPr>
          <w:rFonts w:cs="Arial"/>
          <w:sz w:val="22"/>
          <w:szCs w:val="22"/>
        </w:rPr>
        <w:t>CDG 59</w:t>
      </w:r>
      <w:r w:rsidRPr="009469C1">
        <w:rPr>
          <w:rFonts w:cs="Arial"/>
          <w:sz w:val="22"/>
          <w:szCs w:val="22"/>
        </w:rPr>
        <w:t xml:space="preserve"> au profit des collectivités et établissements publics, définies notamment par les  articles L452-40 à L452-48 du code général de la fonction publique. </w:t>
      </w:r>
    </w:p>
    <w:p w14:paraId="1600F2EA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6D68D86A" w14:textId="435229F3" w:rsidR="00ED6566" w:rsidRPr="009469C1" w:rsidRDefault="00ED6566" w:rsidP="00863C07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Dans le domaine de la </w:t>
      </w:r>
      <w:r w:rsidR="00863C07" w:rsidRPr="009469C1">
        <w:rPr>
          <w:rFonts w:cs="Arial"/>
          <w:sz w:val="22"/>
          <w:szCs w:val="22"/>
        </w:rPr>
        <w:t>santé</w:t>
      </w:r>
      <w:r w:rsidRPr="009469C1">
        <w:rPr>
          <w:rFonts w:cs="Arial"/>
          <w:sz w:val="22"/>
          <w:szCs w:val="22"/>
        </w:rPr>
        <w:t xml:space="preserve">, le CDG 59 a conclu une convention de participation avec </w:t>
      </w:r>
      <w:r w:rsidR="00AB6A8B" w:rsidRPr="009469C1">
        <w:rPr>
          <w:rFonts w:cs="Arial"/>
          <w:sz w:val="22"/>
          <w:szCs w:val="22"/>
        </w:rPr>
        <w:t xml:space="preserve">la </w:t>
      </w:r>
      <w:r w:rsidR="005567B6" w:rsidRPr="009469C1">
        <w:rPr>
          <w:rFonts w:cs="Arial"/>
          <w:sz w:val="22"/>
          <w:szCs w:val="22"/>
        </w:rPr>
        <w:t>Mutuelle Nationale Territoriale (</w:t>
      </w:r>
      <w:r w:rsidR="00AB6A8B" w:rsidRPr="009469C1">
        <w:rPr>
          <w:rFonts w:cs="Arial"/>
          <w:sz w:val="22"/>
          <w:szCs w:val="22"/>
        </w:rPr>
        <w:t>MNT</w:t>
      </w:r>
      <w:r w:rsidR="005567B6" w:rsidRPr="009469C1">
        <w:rPr>
          <w:rFonts w:cs="Arial"/>
          <w:sz w:val="22"/>
          <w:szCs w:val="22"/>
        </w:rPr>
        <w:t>)</w:t>
      </w:r>
      <w:r w:rsidRPr="009469C1">
        <w:rPr>
          <w:rFonts w:cs="Arial"/>
          <w:sz w:val="22"/>
          <w:szCs w:val="22"/>
        </w:rPr>
        <w:t>.</w:t>
      </w:r>
    </w:p>
    <w:p w14:paraId="6A433B8A" w14:textId="77777777" w:rsidR="00ED6566" w:rsidRPr="009469C1" w:rsidRDefault="00ED6566" w:rsidP="009A3B2A">
      <w:pPr>
        <w:rPr>
          <w:rFonts w:cs="Arial"/>
          <w:sz w:val="22"/>
          <w:szCs w:val="22"/>
        </w:rPr>
      </w:pPr>
    </w:p>
    <w:p w14:paraId="3D73AC63" w14:textId="6EDD1B7B" w:rsidR="009A3B2A" w:rsidRPr="009469C1" w:rsidRDefault="009A3B2A" w:rsidP="009A3B2A">
      <w:pPr>
        <w:pStyle w:val="Titre1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Article 2 : </w:t>
      </w:r>
      <w:r w:rsidR="00ED6566" w:rsidRPr="009469C1">
        <w:rPr>
          <w:rFonts w:cs="Arial"/>
          <w:sz w:val="22"/>
          <w:szCs w:val="22"/>
        </w:rPr>
        <w:t>Qualification des intervenants</w:t>
      </w:r>
    </w:p>
    <w:p w14:paraId="19A92058" w14:textId="77777777" w:rsidR="009A3B2A" w:rsidRPr="009469C1" w:rsidRDefault="009A3B2A" w:rsidP="009A3B2A">
      <w:pPr>
        <w:jc w:val="left"/>
        <w:rPr>
          <w:rFonts w:cs="Arial"/>
          <w:sz w:val="22"/>
          <w:szCs w:val="22"/>
        </w:rPr>
      </w:pPr>
    </w:p>
    <w:p w14:paraId="084A834C" w14:textId="008482EB" w:rsidR="009A3B2A" w:rsidRPr="009469C1" w:rsidRDefault="009A3B2A" w:rsidP="009A3B2A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Le </w:t>
      </w:r>
      <w:r w:rsidR="004D553B" w:rsidRPr="009469C1">
        <w:rPr>
          <w:rFonts w:cs="Arial"/>
          <w:sz w:val="22"/>
          <w:szCs w:val="22"/>
        </w:rPr>
        <w:t>CDG 59</w:t>
      </w:r>
      <w:r w:rsidRPr="009469C1">
        <w:rPr>
          <w:rFonts w:cs="Arial"/>
          <w:sz w:val="22"/>
          <w:szCs w:val="22"/>
        </w:rPr>
        <w:t xml:space="preserve"> s’engage à mettre à disposition de la collectivité des agents experts d’un domaine, dotés d’une expérience adéquate et recevant une formation constante dans le domaine de la mission sollicitée.</w:t>
      </w:r>
    </w:p>
    <w:p w14:paraId="2D9BBE59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4AE2179A" w14:textId="4F198FC0" w:rsidR="009A3B2A" w:rsidRPr="009469C1" w:rsidRDefault="009A3B2A" w:rsidP="009A3B2A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Afin de garantir le bon déroulement de la mission, celle-ci bénéficie, en interne, de l’expertise et du savoir-faire des autres services du </w:t>
      </w:r>
      <w:r w:rsidR="004D553B" w:rsidRPr="009469C1">
        <w:rPr>
          <w:rFonts w:cs="Arial"/>
          <w:sz w:val="22"/>
          <w:szCs w:val="22"/>
        </w:rPr>
        <w:t>CDG 59</w:t>
      </w:r>
      <w:r w:rsidRPr="009469C1">
        <w:rPr>
          <w:rFonts w:cs="Arial"/>
          <w:sz w:val="22"/>
          <w:szCs w:val="22"/>
        </w:rPr>
        <w:t>.</w:t>
      </w:r>
    </w:p>
    <w:p w14:paraId="5EB03C6B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2A0ACE08" w14:textId="77777777" w:rsidR="009A3B2A" w:rsidRPr="009469C1" w:rsidRDefault="009A3B2A" w:rsidP="009A3B2A">
      <w:pPr>
        <w:pStyle w:val="Titre1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Article 3 : Limites et conditions d’exercice de la mission.</w:t>
      </w:r>
    </w:p>
    <w:p w14:paraId="7B8ED7BA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31F6FE12" w14:textId="52CDED86" w:rsidR="009A3B2A" w:rsidRPr="009469C1" w:rsidRDefault="009A3B2A" w:rsidP="009A3B2A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Le </w:t>
      </w:r>
      <w:r w:rsidR="004D553B" w:rsidRPr="009469C1">
        <w:rPr>
          <w:rFonts w:cs="Arial"/>
          <w:sz w:val="22"/>
          <w:szCs w:val="22"/>
        </w:rPr>
        <w:t>CDG 59</w:t>
      </w:r>
      <w:r w:rsidRPr="009469C1">
        <w:rPr>
          <w:rFonts w:cs="Arial"/>
          <w:sz w:val="22"/>
          <w:szCs w:val="22"/>
        </w:rPr>
        <w:t xml:space="preserve"> s’engage à conduire la mission confiée de manière indépendante, objective et neutre, dans le strict respect de la confidentialité et de la discrétion professionnelle.</w:t>
      </w:r>
    </w:p>
    <w:p w14:paraId="6B7DC9FC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53BAB365" w14:textId="13FF9410" w:rsidR="009A3B2A" w:rsidRPr="009469C1" w:rsidRDefault="009A3B2A" w:rsidP="00ED6566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Les professionnel</w:t>
      </w:r>
      <w:r w:rsidR="00ED6566" w:rsidRPr="009469C1">
        <w:rPr>
          <w:rFonts w:cs="Arial"/>
          <w:sz w:val="22"/>
          <w:szCs w:val="22"/>
        </w:rPr>
        <w:t>s</w:t>
      </w:r>
      <w:r w:rsidRPr="009469C1">
        <w:rPr>
          <w:rFonts w:cs="Arial"/>
          <w:sz w:val="22"/>
          <w:szCs w:val="22"/>
        </w:rPr>
        <w:t xml:space="preserve"> du </w:t>
      </w:r>
      <w:r w:rsidR="004D553B" w:rsidRPr="009469C1">
        <w:rPr>
          <w:rFonts w:cs="Arial"/>
          <w:sz w:val="22"/>
          <w:szCs w:val="22"/>
        </w:rPr>
        <w:t>CDG 59</w:t>
      </w:r>
      <w:r w:rsidRPr="009469C1">
        <w:rPr>
          <w:rFonts w:cs="Arial"/>
          <w:sz w:val="22"/>
          <w:szCs w:val="22"/>
        </w:rPr>
        <w:t xml:space="preserve"> sont soumis à une obligation de secret professionnel. Ils doivent respecter les règles de déontologie qui leur sont propres telles qu’elles figurent dans les conditions générales d’exercice de leur profession.</w:t>
      </w:r>
    </w:p>
    <w:p w14:paraId="3C81046E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3C93C887" w14:textId="77777777" w:rsidR="009A3B2A" w:rsidRPr="009469C1" w:rsidRDefault="009A3B2A" w:rsidP="009A3B2A">
      <w:pPr>
        <w:pStyle w:val="Titre1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Article 4 : Responsabilités</w:t>
      </w:r>
    </w:p>
    <w:p w14:paraId="0C80B159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40204FB1" w14:textId="7ABEDFF1" w:rsidR="009A3B2A" w:rsidRPr="009469C1" w:rsidRDefault="009A3B2A" w:rsidP="009A3B2A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L’action du </w:t>
      </w:r>
      <w:r w:rsidR="004D553B" w:rsidRPr="009469C1">
        <w:rPr>
          <w:rFonts w:cs="Arial"/>
          <w:sz w:val="22"/>
          <w:szCs w:val="22"/>
        </w:rPr>
        <w:t>CDG 59</w:t>
      </w:r>
      <w:r w:rsidRPr="009469C1">
        <w:rPr>
          <w:rFonts w:cs="Arial"/>
          <w:sz w:val="22"/>
          <w:szCs w:val="22"/>
        </w:rPr>
        <w:t xml:space="preserve"> consiste en un appui technique, un conseil et une assistance destinés à éclairer la collectivité qui reste seule compétente pour agir et décider des mesures à mettre en œuvre pour la gestion de son personnel.</w:t>
      </w:r>
    </w:p>
    <w:p w14:paraId="329E0128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729F3CC9" w14:textId="70EF27F2" w:rsidR="009A3B2A" w:rsidRPr="009469C1" w:rsidRDefault="009A3B2A" w:rsidP="009A3B2A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Sans préjudice des dispositions spécifiques, le </w:t>
      </w:r>
      <w:r w:rsidR="004D553B" w:rsidRPr="009469C1">
        <w:rPr>
          <w:rFonts w:cs="Arial"/>
          <w:sz w:val="22"/>
          <w:szCs w:val="22"/>
        </w:rPr>
        <w:t>CDG 59</w:t>
      </w:r>
      <w:r w:rsidRPr="009469C1">
        <w:rPr>
          <w:rFonts w:cs="Arial"/>
          <w:sz w:val="22"/>
          <w:szCs w:val="22"/>
        </w:rPr>
        <w:t xml:space="preserve"> est titulaire des assurances permettant de garantir sa responsabilité à l’égard de la collectivité à l’occasion des dommages qui seraient causés par l’exécution des prestations.</w:t>
      </w:r>
    </w:p>
    <w:p w14:paraId="61EBE261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31588AB7" w14:textId="77777777" w:rsidR="009A3B2A" w:rsidRPr="009469C1" w:rsidRDefault="009A3B2A" w:rsidP="009A3B2A">
      <w:pPr>
        <w:pStyle w:val="Titre1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Article 5 : Durée et renouvellement</w:t>
      </w:r>
    </w:p>
    <w:p w14:paraId="2CCE6267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04A1CDAE" w14:textId="06FA2CE8" w:rsidR="009A3B2A" w:rsidRPr="009469C1" w:rsidRDefault="009A3B2A" w:rsidP="005567B6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La présente convention entre en vigueu</w:t>
      </w:r>
      <w:r w:rsidR="00ED6566" w:rsidRPr="009469C1">
        <w:rPr>
          <w:rFonts w:cs="Arial"/>
          <w:sz w:val="22"/>
          <w:szCs w:val="22"/>
        </w:rPr>
        <w:t>r au plus tôt le 01 janvier 2024</w:t>
      </w:r>
      <w:r w:rsidRPr="009469C1">
        <w:rPr>
          <w:rFonts w:cs="Arial"/>
          <w:sz w:val="22"/>
          <w:szCs w:val="22"/>
        </w:rPr>
        <w:t xml:space="preserve"> et à compter de sa date de signature par les deux parties. Elle est conclue </w:t>
      </w:r>
      <w:r w:rsidR="00ED6566" w:rsidRPr="009469C1">
        <w:rPr>
          <w:rFonts w:cs="Arial"/>
          <w:sz w:val="22"/>
          <w:szCs w:val="22"/>
        </w:rPr>
        <w:t>jusqu’à l’échéance de la convention de participation</w:t>
      </w:r>
      <w:r w:rsidR="005567B6" w:rsidRPr="009469C1">
        <w:rPr>
          <w:rFonts w:cs="Arial"/>
          <w:sz w:val="22"/>
          <w:szCs w:val="22"/>
        </w:rPr>
        <w:t>.</w:t>
      </w:r>
    </w:p>
    <w:p w14:paraId="4E5C51E5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186E017F" w14:textId="77777777" w:rsidR="009A3B2A" w:rsidRPr="009469C1" w:rsidRDefault="009A3B2A" w:rsidP="009A3B2A">
      <w:pPr>
        <w:autoSpaceDE/>
        <w:adjustRightInd/>
        <w:spacing w:after="160" w:line="256" w:lineRule="auto"/>
        <w:jc w:val="left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br w:type="page"/>
      </w:r>
    </w:p>
    <w:p w14:paraId="4965EF62" w14:textId="77777777" w:rsidR="009469C1" w:rsidRDefault="009469C1" w:rsidP="009A3B2A">
      <w:pPr>
        <w:pStyle w:val="Titre1"/>
        <w:rPr>
          <w:rFonts w:cs="Arial"/>
          <w:sz w:val="22"/>
          <w:szCs w:val="22"/>
        </w:rPr>
      </w:pPr>
    </w:p>
    <w:p w14:paraId="3F601C2B" w14:textId="77777777" w:rsidR="009469C1" w:rsidRDefault="009469C1" w:rsidP="009A3B2A">
      <w:pPr>
        <w:pStyle w:val="Titre1"/>
        <w:rPr>
          <w:rFonts w:cs="Arial"/>
          <w:sz w:val="22"/>
          <w:szCs w:val="22"/>
        </w:rPr>
      </w:pPr>
    </w:p>
    <w:p w14:paraId="6AC36BC2" w14:textId="77777777" w:rsidR="009469C1" w:rsidRDefault="009469C1" w:rsidP="009A3B2A">
      <w:pPr>
        <w:pStyle w:val="Titre1"/>
        <w:rPr>
          <w:rFonts w:cs="Arial"/>
          <w:sz w:val="22"/>
          <w:szCs w:val="22"/>
        </w:rPr>
      </w:pPr>
    </w:p>
    <w:p w14:paraId="4F3C1B4F" w14:textId="65258099" w:rsidR="009A3B2A" w:rsidRPr="009469C1" w:rsidRDefault="009A3B2A" w:rsidP="009A3B2A">
      <w:pPr>
        <w:pStyle w:val="Titre1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Article </w:t>
      </w:r>
      <w:proofErr w:type="gramStart"/>
      <w:r w:rsidRPr="009469C1">
        <w:rPr>
          <w:rFonts w:cs="Arial"/>
          <w:sz w:val="22"/>
          <w:szCs w:val="22"/>
        </w:rPr>
        <w:t>6:</w:t>
      </w:r>
      <w:proofErr w:type="gramEnd"/>
      <w:r w:rsidRPr="009469C1">
        <w:rPr>
          <w:rFonts w:cs="Arial"/>
          <w:sz w:val="22"/>
          <w:szCs w:val="22"/>
        </w:rPr>
        <w:t xml:space="preserve"> Résiliation suspension</w:t>
      </w:r>
    </w:p>
    <w:p w14:paraId="4FF08C0D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5A39AD35" w14:textId="77777777" w:rsidR="009A3B2A" w:rsidRPr="009469C1" w:rsidRDefault="009A3B2A" w:rsidP="009A3B2A">
      <w:pPr>
        <w:pStyle w:val="Sous-titre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Article 6-1 : Résiliation à l’initiative de la collectivité</w:t>
      </w:r>
    </w:p>
    <w:p w14:paraId="71B6A5F7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0709DB29" w14:textId="7056D627" w:rsidR="009A3B2A" w:rsidRPr="009469C1" w:rsidRDefault="009A3B2A" w:rsidP="00ED6566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La présente convention peut être résiliée à l’initiative de la collectivité </w:t>
      </w:r>
      <w:r w:rsidR="00ED6566" w:rsidRPr="009469C1">
        <w:rPr>
          <w:rFonts w:cs="Arial"/>
          <w:sz w:val="22"/>
          <w:szCs w:val="22"/>
        </w:rPr>
        <w:t>dans les conditions fixées par la convention de participation.</w:t>
      </w:r>
    </w:p>
    <w:p w14:paraId="20297310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712FE502" w14:textId="3A287859" w:rsidR="009A3B2A" w:rsidRPr="009469C1" w:rsidRDefault="009A3B2A" w:rsidP="009A3B2A">
      <w:pPr>
        <w:pStyle w:val="Sous-titre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Article 6.2 : Résiliation à l’initiative du </w:t>
      </w:r>
      <w:r w:rsidR="004D553B" w:rsidRPr="009469C1">
        <w:rPr>
          <w:rFonts w:cs="Arial"/>
          <w:sz w:val="22"/>
          <w:szCs w:val="22"/>
        </w:rPr>
        <w:t>CDG 59</w:t>
      </w:r>
    </w:p>
    <w:p w14:paraId="55716068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798C5829" w14:textId="68267C63" w:rsidR="009A3B2A" w:rsidRPr="009469C1" w:rsidRDefault="009A3B2A" w:rsidP="009A3B2A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Le </w:t>
      </w:r>
      <w:r w:rsidR="004D553B" w:rsidRPr="009469C1">
        <w:rPr>
          <w:rFonts w:cs="Arial"/>
          <w:sz w:val="22"/>
          <w:szCs w:val="22"/>
        </w:rPr>
        <w:t>CDG 59</w:t>
      </w:r>
      <w:r w:rsidRPr="009469C1">
        <w:rPr>
          <w:rFonts w:cs="Arial"/>
          <w:sz w:val="22"/>
          <w:szCs w:val="22"/>
        </w:rPr>
        <w:t xml:space="preserve"> peut résilier la présente convention pour les motifs suivants :</w:t>
      </w:r>
    </w:p>
    <w:p w14:paraId="181F09B1" w14:textId="77777777" w:rsidR="009A3B2A" w:rsidRPr="009469C1" w:rsidRDefault="009A3B2A" w:rsidP="009A3B2A">
      <w:pPr>
        <w:pStyle w:val="Paragraphedeliste"/>
        <w:numPr>
          <w:ilvl w:val="0"/>
          <w:numId w:val="23"/>
        </w:num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motif d’intérêt général,</w:t>
      </w:r>
    </w:p>
    <w:p w14:paraId="79C39B3F" w14:textId="77777777" w:rsidR="009A3B2A" w:rsidRPr="009469C1" w:rsidRDefault="009A3B2A" w:rsidP="009A3B2A">
      <w:pPr>
        <w:pStyle w:val="Paragraphedeliste"/>
        <w:numPr>
          <w:ilvl w:val="0"/>
          <w:numId w:val="23"/>
        </w:num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non-respect de ses obligations par la collectivité,</w:t>
      </w:r>
    </w:p>
    <w:p w14:paraId="6027B8D2" w14:textId="77777777" w:rsidR="009A3B2A" w:rsidRPr="009469C1" w:rsidRDefault="009A3B2A" w:rsidP="009A3B2A">
      <w:pPr>
        <w:pStyle w:val="Paragraphedeliste"/>
        <w:numPr>
          <w:ilvl w:val="0"/>
          <w:numId w:val="23"/>
        </w:num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non-respect des règles de déontologie propres à chacun des acteurs,</w:t>
      </w:r>
    </w:p>
    <w:p w14:paraId="6EEA30B8" w14:textId="77777777" w:rsidR="009A3B2A" w:rsidRPr="009469C1" w:rsidRDefault="009A3B2A" w:rsidP="009A3B2A">
      <w:pPr>
        <w:pStyle w:val="Paragraphedeliste"/>
        <w:numPr>
          <w:ilvl w:val="0"/>
          <w:numId w:val="23"/>
        </w:num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défaut de paiement.</w:t>
      </w:r>
    </w:p>
    <w:p w14:paraId="295BFA48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489D6450" w14:textId="77777777" w:rsidR="009A3B2A" w:rsidRPr="009469C1" w:rsidRDefault="009A3B2A" w:rsidP="009A3B2A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Cette résiliation sera précédée d’une phase d’échanges et de dialogues entre les parties afin de trouver les solutions permettant de poursuivre leurs relations.</w:t>
      </w:r>
    </w:p>
    <w:p w14:paraId="591E27D4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74EAD6E4" w14:textId="77777777" w:rsidR="009A3B2A" w:rsidRPr="009469C1" w:rsidRDefault="009A3B2A" w:rsidP="009A3B2A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La résiliation prend effet à compter de la réception d’un courrier recommandé. </w:t>
      </w:r>
    </w:p>
    <w:p w14:paraId="7042D1BA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20505308" w14:textId="3BFB4981" w:rsidR="009A3B2A" w:rsidRPr="009469C1" w:rsidRDefault="00ED6566" w:rsidP="009A3B2A">
      <w:pPr>
        <w:pStyle w:val="Titre1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Article 6</w:t>
      </w:r>
      <w:r w:rsidR="009A3B2A" w:rsidRPr="009469C1">
        <w:rPr>
          <w:rFonts w:cs="Arial"/>
          <w:sz w:val="22"/>
          <w:szCs w:val="22"/>
        </w:rPr>
        <w:t>: Evolution des conditions d’intervention</w:t>
      </w:r>
    </w:p>
    <w:p w14:paraId="448E2A01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1CEE48E0" w14:textId="6494FC44" w:rsidR="009A3B2A" w:rsidRPr="009469C1" w:rsidRDefault="009A3B2A" w:rsidP="009A3B2A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Les conditions d’intervention peuvent évoluer sur décision du conseil d’administration du </w:t>
      </w:r>
      <w:r w:rsidR="004D553B" w:rsidRPr="009469C1">
        <w:rPr>
          <w:rFonts w:cs="Arial"/>
          <w:sz w:val="22"/>
          <w:szCs w:val="22"/>
        </w:rPr>
        <w:t>CDG 59</w:t>
      </w:r>
      <w:r w:rsidRPr="009469C1">
        <w:rPr>
          <w:rFonts w:cs="Arial"/>
          <w:sz w:val="22"/>
          <w:szCs w:val="22"/>
        </w:rPr>
        <w:t xml:space="preserve"> ou en cas d’évolution de la législation ou de la réglementation.</w:t>
      </w:r>
    </w:p>
    <w:p w14:paraId="7C6E6B0D" w14:textId="77777777" w:rsidR="009A3B2A" w:rsidRPr="009469C1" w:rsidRDefault="009A3B2A" w:rsidP="009A3B2A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Toute modification fera l’objet d’une information à la collectivité / l’établissement public.</w:t>
      </w:r>
    </w:p>
    <w:p w14:paraId="330DBBF9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30F108D0" w14:textId="504E1887" w:rsidR="009A3B2A" w:rsidRPr="009469C1" w:rsidRDefault="009A3B2A" w:rsidP="00ED6566">
      <w:pPr>
        <w:pStyle w:val="Titre1"/>
        <w:rPr>
          <w:rFonts w:cs="Arial"/>
          <w:color w:val="000000" w:themeColor="text1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Article </w:t>
      </w:r>
      <w:r w:rsidR="00ED6566" w:rsidRPr="009469C1">
        <w:rPr>
          <w:rFonts w:cs="Arial"/>
          <w:sz w:val="22"/>
          <w:szCs w:val="22"/>
        </w:rPr>
        <w:t>7</w:t>
      </w:r>
      <w:r w:rsidRPr="009469C1">
        <w:rPr>
          <w:rFonts w:cs="Arial"/>
          <w:sz w:val="22"/>
          <w:szCs w:val="22"/>
        </w:rPr>
        <w:t> : Conditions de revalorisation</w:t>
      </w:r>
    </w:p>
    <w:p w14:paraId="29EBE6BC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59FF8599" w14:textId="5CF036E7" w:rsidR="009A3B2A" w:rsidRPr="009469C1" w:rsidRDefault="009A3B2A" w:rsidP="009A3B2A">
      <w:pPr>
        <w:rPr>
          <w:rFonts w:cs="Arial"/>
          <w:sz w:val="22"/>
          <w:szCs w:val="22"/>
        </w:rPr>
      </w:pPr>
      <w:r w:rsidRPr="009469C1">
        <w:rPr>
          <w:rFonts w:cs="Arial"/>
          <w:color w:val="000000" w:themeColor="text1"/>
          <w:sz w:val="22"/>
          <w:szCs w:val="22"/>
        </w:rPr>
        <w:t>Les contributions et tarifs peuvent</w:t>
      </w:r>
      <w:r w:rsidRPr="009469C1">
        <w:rPr>
          <w:rFonts w:cs="Arial"/>
          <w:b/>
          <w:color w:val="000000" w:themeColor="text1"/>
          <w:sz w:val="22"/>
          <w:szCs w:val="22"/>
        </w:rPr>
        <w:t xml:space="preserve"> </w:t>
      </w:r>
      <w:r w:rsidRPr="009469C1">
        <w:rPr>
          <w:rFonts w:cs="Arial"/>
          <w:sz w:val="22"/>
          <w:szCs w:val="22"/>
        </w:rPr>
        <w:t xml:space="preserve">évoluer en fonction des décisions prises par le Conseil d’administration du </w:t>
      </w:r>
      <w:r w:rsidR="004D553B" w:rsidRPr="009469C1">
        <w:rPr>
          <w:rFonts w:cs="Arial"/>
          <w:sz w:val="22"/>
          <w:szCs w:val="22"/>
        </w:rPr>
        <w:t>CDG 59</w:t>
      </w:r>
      <w:r w:rsidRPr="009469C1">
        <w:rPr>
          <w:rFonts w:cs="Arial"/>
          <w:sz w:val="22"/>
          <w:szCs w:val="22"/>
        </w:rPr>
        <w:t xml:space="preserve">. </w:t>
      </w:r>
    </w:p>
    <w:p w14:paraId="3AB52D7A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539E7491" w14:textId="23C96B49" w:rsidR="009A3B2A" w:rsidRPr="009469C1" w:rsidRDefault="009A3B2A" w:rsidP="009A3B2A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En cas de modification des tarifs, délibéré par le Conseil d’administration du </w:t>
      </w:r>
      <w:r w:rsidR="004D553B" w:rsidRPr="009469C1">
        <w:rPr>
          <w:rFonts w:cs="Arial"/>
          <w:sz w:val="22"/>
          <w:szCs w:val="22"/>
        </w:rPr>
        <w:t>CDG 59</w:t>
      </w:r>
      <w:r w:rsidRPr="009469C1">
        <w:rPr>
          <w:rFonts w:cs="Arial"/>
          <w:sz w:val="22"/>
          <w:szCs w:val="22"/>
        </w:rPr>
        <w:t>, la collectivité/l’établissement public dispose d’un délai de trois mois à compter de sa connaissance de cette évolution tarifaire pour dénoncer la convention. A défaut elle/il est réputée accepter l’évolution tarifaire.</w:t>
      </w:r>
    </w:p>
    <w:p w14:paraId="00EAB0F4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150D1990" w14:textId="2CB96034" w:rsidR="009A3B2A" w:rsidRPr="009469C1" w:rsidRDefault="00ED6566" w:rsidP="009A3B2A">
      <w:pPr>
        <w:pStyle w:val="Titre1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Article 8</w:t>
      </w:r>
      <w:r w:rsidR="009A3B2A" w:rsidRPr="009469C1">
        <w:rPr>
          <w:rFonts w:cs="Arial"/>
          <w:sz w:val="22"/>
          <w:szCs w:val="22"/>
        </w:rPr>
        <w:t> : Protection des données à caractère personnel</w:t>
      </w:r>
    </w:p>
    <w:p w14:paraId="329A5D2A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66F4E268" w14:textId="1A04E0F2" w:rsidR="009A3B2A" w:rsidRPr="009469C1" w:rsidRDefault="009A3B2A" w:rsidP="009A3B2A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Le </w:t>
      </w:r>
      <w:r w:rsidR="004D553B" w:rsidRPr="009469C1">
        <w:rPr>
          <w:rFonts w:cs="Arial"/>
          <w:sz w:val="22"/>
          <w:szCs w:val="22"/>
        </w:rPr>
        <w:t>CDG 59</w:t>
      </w:r>
      <w:r w:rsidRPr="009469C1">
        <w:rPr>
          <w:rFonts w:cs="Arial"/>
          <w:sz w:val="22"/>
          <w:szCs w:val="22"/>
        </w:rPr>
        <w:t xml:space="preserve"> est tenu au respect des règles, européennes et françaises, applicables au traitement des données à caractère personnel éventuellement mis en œuvre aux fins de l'exécution du marché. A ce titre, toute transmission de données à des tiers, y compris au bénéfice d'entités établies hors de l'Union européenne, qui ne serait pas strictement conforme à la réglementation en vigueur est formellement prohibée.</w:t>
      </w:r>
    </w:p>
    <w:p w14:paraId="5B9E9AED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6EAA6C8F" w14:textId="18872CF9" w:rsidR="009A3B2A" w:rsidRPr="009469C1" w:rsidRDefault="009A3B2A" w:rsidP="00ED6566">
      <w:pPr>
        <w:pStyle w:val="Titre1"/>
        <w:rPr>
          <w:rFonts w:cs="Arial"/>
          <w:sz w:val="22"/>
          <w:szCs w:val="22"/>
          <w:u w:val="single"/>
        </w:rPr>
      </w:pPr>
      <w:r w:rsidRPr="009469C1">
        <w:rPr>
          <w:rFonts w:cs="Arial"/>
          <w:sz w:val="22"/>
          <w:szCs w:val="22"/>
        </w:rPr>
        <w:t xml:space="preserve">Article </w:t>
      </w:r>
      <w:r w:rsidR="00ED6566" w:rsidRPr="009469C1">
        <w:rPr>
          <w:rFonts w:cs="Arial"/>
          <w:sz w:val="22"/>
          <w:szCs w:val="22"/>
        </w:rPr>
        <w:t>9</w:t>
      </w:r>
      <w:r w:rsidRPr="009469C1">
        <w:rPr>
          <w:rFonts w:cs="Arial"/>
          <w:sz w:val="22"/>
          <w:szCs w:val="22"/>
        </w:rPr>
        <w:t> : Difficultés d’application et litiges</w:t>
      </w:r>
    </w:p>
    <w:p w14:paraId="1B138A76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57B3828B" w14:textId="6955E265" w:rsidR="009A3B2A" w:rsidRPr="009469C1" w:rsidRDefault="009A3B2A" w:rsidP="009A3B2A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Toute difficulté d’application de la présente convention fera l’objet d’une rencontre entre le </w:t>
      </w:r>
      <w:r w:rsidR="004D553B" w:rsidRPr="009469C1">
        <w:rPr>
          <w:rFonts w:cs="Arial"/>
          <w:sz w:val="22"/>
          <w:szCs w:val="22"/>
        </w:rPr>
        <w:t>CDG 59</w:t>
      </w:r>
      <w:r w:rsidRPr="009469C1">
        <w:rPr>
          <w:rFonts w:cs="Arial"/>
          <w:sz w:val="22"/>
          <w:szCs w:val="22"/>
        </w:rPr>
        <w:t xml:space="preserve"> et un·e responsable de la collectivité / l’établissement afin d’essayer de trouver un accord.</w:t>
      </w:r>
    </w:p>
    <w:p w14:paraId="1CA3F8BF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598A8097" w14:textId="77777777" w:rsidR="009A3B2A" w:rsidRPr="009469C1" w:rsidRDefault="009A3B2A" w:rsidP="009A3B2A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Tous litiges pouvant résulter de la présente convention relèvent de la compétence du Tribunal Administratif de Lille.</w:t>
      </w:r>
    </w:p>
    <w:p w14:paraId="31740C74" w14:textId="77777777" w:rsidR="009A3B2A" w:rsidRPr="009469C1" w:rsidRDefault="009A3B2A" w:rsidP="009A3B2A">
      <w:pPr>
        <w:rPr>
          <w:rFonts w:cs="Arial"/>
          <w:sz w:val="22"/>
          <w:szCs w:val="22"/>
        </w:rPr>
      </w:pPr>
    </w:p>
    <w:p w14:paraId="6F5437C0" w14:textId="77777777" w:rsidR="004F4A3F" w:rsidRPr="009469C1" w:rsidRDefault="004F4A3F" w:rsidP="00033ABD">
      <w:pPr>
        <w:rPr>
          <w:rFonts w:cs="Arial"/>
          <w:b/>
          <w:bCs/>
          <w:sz w:val="28"/>
          <w:szCs w:val="22"/>
        </w:rPr>
      </w:pPr>
    </w:p>
    <w:p w14:paraId="25DCF9A5" w14:textId="77777777" w:rsidR="009469C1" w:rsidRDefault="009469C1" w:rsidP="00033ABD">
      <w:pPr>
        <w:rPr>
          <w:rFonts w:cs="Arial"/>
          <w:b/>
          <w:bCs/>
          <w:sz w:val="28"/>
          <w:szCs w:val="22"/>
        </w:rPr>
      </w:pPr>
    </w:p>
    <w:p w14:paraId="2DB617D6" w14:textId="77777777" w:rsidR="009469C1" w:rsidRDefault="009469C1" w:rsidP="00033ABD">
      <w:pPr>
        <w:rPr>
          <w:rFonts w:cs="Arial"/>
          <w:b/>
          <w:bCs/>
          <w:sz w:val="28"/>
          <w:szCs w:val="22"/>
        </w:rPr>
      </w:pPr>
    </w:p>
    <w:p w14:paraId="1C58CCB5" w14:textId="77777777" w:rsidR="009469C1" w:rsidRDefault="009469C1" w:rsidP="00033ABD">
      <w:pPr>
        <w:rPr>
          <w:rFonts w:cs="Arial"/>
          <w:b/>
          <w:bCs/>
          <w:sz w:val="28"/>
          <w:szCs w:val="22"/>
        </w:rPr>
      </w:pPr>
    </w:p>
    <w:p w14:paraId="67A92B4A" w14:textId="77777777" w:rsidR="009469C1" w:rsidRDefault="009469C1" w:rsidP="00033ABD">
      <w:pPr>
        <w:rPr>
          <w:rFonts w:cs="Arial"/>
          <w:b/>
          <w:bCs/>
          <w:sz w:val="28"/>
          <w:szCs w:val="22"/>
        </w:rPr>
      </w:pPr>
    </w:p>
    <w:p w14:paraId="0BF14B62" w14:textId="15B1F8F9" w:rsidR="00033ABD" w:rsidRPr="009469C1" w:rsidRDefault="00033ABD" w:rsidP="00033ABD">
      <w:pPr>
        <w:rPr>
          <w:rFonts w:cs="Arial"/>
          <w:b/>
          <w:bCs/>
          <w:sz w:val="28"/>
          <w:szCs w:val="22"/>
        </w:rPr>
      </w:pPr>
      <w:r w:rsidRPr="009469C1">
        <w:rPr>
          <w:rFonts w:cs="Arial"/>
          <w:b/>
          <w:bCs/>
          <w:sz w:val="28"/>
          <w:szCs w:val="22"/>
        </w:rPr>
        <w:t>Dispositions particulières</w:t>
      </w:r>
    </w:p>
    <w:p w14:paraId="42E59783" w14:textId="77777777" w:rsidR="00E55CC0" w:rsidRPr="009469C1" w:rsidRDefault="00E55CC0" w:rsidP="00E55CC0">
      <w:pPr>
        <w:rPr>
          <w:rFonts w:cs="Arial"/>
          <w:sz w:val="22"/>
          <w:szCs w:val="22"/>
        </w:rPr>
      </w:pPr>
    </w:p>
    <w:p w14:paraId="7CF25D2B" w14:textId="4E7616F0" w:rsidR="00E55CC0" w:rsidRPr="009469C1" w:rsidRDefault="00BF4920" w:rsidP="008E4595">
      <w:pPr>
        <w:pStyle w:val="Titre1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Article 1</w:t>
      </w:r>
      <w:r w:rsidR="00ED6566" w:rsidRPr="009469C1">
        <w:rPr>
          <w:rFonts w:cs="Arial"/>
          <w:sz w:val="22"/>
          <w:szCs w:val="22"/>
        </w:rPr>
        <w:t>0</w:t>
      </w:r>
      <w:r w:rsidR="00E55CC0" w:rsidRPr="009469C1">
        <w:rPr>
          <w:rFonts w:cs="Arial"/>
          <w:sz w:val="22"/>
          <w:szCs w:val="22"/>
        </w:rPr>
        <w:t xml:space="preserve"> : Le cadre général d’intervention du </w:t>
      </w:r>
      <w:r w:rsidR="004D553B" w:rsidRPr="009469C1">
        <w:rPr>
          <w:rFonts w:cs="Arial"/>
          <w:sz w:val="22"/>
          <w:szCs w:val="22"/>
        </w:rPr>
        <w:t>CDG 59</w:t>
      </w:r>
      <w:r w:rsidR="00E55CC0" w:rsidRPr="009469C1">
        <w:rPr>
          <w:rFonts w:cs="Arial"/>
          <w:sz w:val="22"/>
          <w:szCs w:val="22"/>
        </w:rPr>
        <w:t xml:space="preserve"> </w:t>
      </w:r>
    </w:p>
    <w:p w14:paraId="78ED3FFE" w14:textId="77777777" w:rsidR="00195980" w:rsidRPr="009469C1" w:rsidRDefault="00195980" w:rsidP="00195980">
      <w:pPr>
        <w:rPr>
          <w:rFonts w:cs="Arial"/>
          <w:sz w:val="22"/>
          <w:szCs w:val="22"/>
        </w:rPr>
      </w:pPr>
    </w:p>
    <w:p w14:paraId="40BCD967" w14:textId="4E738E0E" w:rsidR="001D1617" w:rsidRPr="009469C1" w:rsidRDefault="00ED6566" w:rsidP="001D1617">
      <w:pPr>
        <w:pStyle w:val="Sous-titre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Article 10-1</w:t>
      </w:r>
      <w:r w:rsidR="001D1617" w:rsidRPr="009469C1">
        <w:rPr>
          <w:rFonts w:cs="Arial"/>
          <w:sz w:val="22"/>
          <w:szCs w:val="22"/>
        </w:rPr>
        <w:t> : le cadre d’intervention</w:t>
      </w:r>
    </w:p>
    <w:p w14:paraId="27ED0E13" w14:textId="77777777" w:rsidR="001D1617" w:rsidRPr="009469C1" w:rsidRDefault="001D1617" w:rsidP="00195980">
      <w:pPr>
        <w:rPr>
          <w:rFonts w:cs="Arial"/>
          <w:sz w:val="22"/>
          <w:szCs w:val="22"/>
        </w:rPr>
      </w:pPr>
    </w:p>
    <w:p w14:paraId="4C41B795" w14:textId="69A6BDAC" w:rsidR="001D1617" w:rsidRPr="009469C1" w:rsidRDefault="00A00D45" w:rsidP="00A00D45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Les personnes publiques</w:t>
      </w:r>
      <w:r w:rsidR="001D1617" w:rsidRPr="009469C1">
        <w:rPr>
          <w:rFonts w:cs="Arial"/>
          <w:sz w:val="22"/>
          <w:szCs w:val="22"/>
        </w:rPr>
        <w:t xml:space="preserve"> participent au financement des garanties de protection sociale complémentaire destinées à couvrir les frais occasionnés par une maternité, une maladie ou un accident auxquelles souscrivent les agent</w:t>
      </w:r>
      <w:r w:rsidR="004E246B" w:rsidRPr="009469C1">
        <w:rPr>
          <w:rFonts w:cs="Arial"/>
          <w:sz w:val="22"/>
          <w:szCs w:val="22"/>
        </w:rPr>
        <w:t>·e</w:t>
      </w:r>
      <w:r w:rsidR="001D1617" w:rsidRPr="009469C1">
        <w:rPr>
          <w:rFonts w:cs="Arial"/>
          <w:sz w:val="22"/>
          <w:szCs w:val="22"/>
        </w:rPr>
        <w:t>s que ces personnes publiques emploient.</w:t>
      </w:r>
    </w:p>
    <w:p w14:paraId="102CB050" w14:textId="77777777" w:rsidR="001D1617" w:rsidRPr="009469C1" w:rsidRDefault="001D1617" w:rsidP="00195980">
      <w:pPr>
        <w:rPr>
          <w:rFonts w:cs="Arial"/>
          <w:sz w:val="22"/>
          <w:szCs w:val="22"/>
        </w:rPr>
      </w:pPr>
    </w:p>
    <w:p w14:paraId="1D74B718" w14:textId="3990A1BA" w:rsidR="001D1617" w:rsidRPr="009469C1" w:rsidRDefault="001D1617" w:rsidP="001D1617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Ces personnes participent également au financement des garanties de protection sociale complémentaire destinées à couvrir les risques d'incapacité de travail, d'invalidité, d'inaptitude ou de décès</w:t>
      </w:r>
      <w:r w:rsidR="00181F02" w:rsidRPr="009469C1">
        <w:rPr>
          <w:rFonts w:cs="Arial"/>
          <w:sz w:val="22"/>
          <w:szCs w:val="22"/>
        </w:rPr>
        <w:t>.</w:t>
      </w:r>
    </w:p>
    <w:p w14:paraId="21A0D8E1" w14:textId="77777777" w:rsidR="001D1617" w:rsidRPr="009469C1" w:rsidRDefault="001D1617" w:rsidP="00195980">
      <w:pPr>
        <w:rPr>
          <w:rFonts w:cs="Arial"/>
          <w:sz w:val="22"/>
          <w:szCs w:val="22"/>
        </w:rPr>
      </w:pPr>
    </w:p>
    <w:p w14:paraId="32ACFC51" w14:textId="35C28296" w:rsidR="003356B1" w:rsidRPr="009469C1" w:rsidRDefault="001D1617" w:rsidP="001D1617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Les centres de gestion concluent, pour le compte des collectivités territoriales et de leurs établissements publics et afin de couvrir pour leurs agent</w:t>
      </w:r>
      <w:r w:rsidR="004E246B" w:rsidRPr="009469C1">
        <w:rPr>
          <w:rFonts w:cs="Arial"/>
          <w:sz w:val="22"/>
          <w:szCs w:val="22"/>
        </w:rPr>
        <w:t>·e</w:t>
      </w:r>
      <w:r w:rsidRPr="009469C1">
        <w:rPr>
          <w:rFonts w:cs="Arial"/>
          <w:sz w:val="22"/>
          <w:szCs w:val="22"/>
        </w:rPr>
        <w:t>s, au titre de la protection sociale complémentaire, les risques définis ci-dessus.</w:t>
      </w:r>
    </w:p>
    <w:p w14:paraId="31587B54" w14:textId="77777777" w:rsidR="003356B1" w:rsidRPr="009469C1" w:rsidRDefault="003356B1" w:rsidP="00E55CC0">
      <w:pPr>
        <w:rPr>
          <w:rFonts w:cs="Arial"/>
          <w:sz w:val="22"/>
          <w:szCs w:val="22"/>
        </w:rPr>
      </w:pPr>
    </w:p>
    <w:p w14:paraId="2A801F6E" w14:textId="370B69A7" w:rsidR="001D1617" w:rsidRPr="009469C1" w:rsidRDefault="00ED6566" w:rsidP="001D1617">
      <w:pPr>
        <w:pStyle w:val="Sous-titre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Article 10</w:t>
      </w:r>
      <w:r w:rsidR="001D1617" w:rsidRPr="009469C1">
        <w:rPr>
          <w:rFonts w:cs="Arial"/>
          <w:sz w:val="22"/>
          <w:szCs w:val="22"/>
        </w:rPr>
        <w:t xml:space="preserve">-2 : le cadre d’accompagnement du </w:t>
      </w:r>
      <w:r w:rsidR="004D553B" w:rsidRPr="009469C1">
        <w:rPr>
          <w:rFonts w:cs="Arial"/>
          <w:sz w:val="22"/>
          <w:szCs w:val="22"/>
        </w:rPr>
        <w:t>CDG 59</w:t>
      </w:r>
    </w:p>
    <w:p w14:paraId="1042979B" w14:textId="77777777" w:rsidR="001D1617" w:rsidRPr="009469C1" w:rsidRDefault="001D1617" w:rsidP="00E55CC0">
      <w:pPr>
        <w:rPr>
          <w:rFonts w:cs="Arial"/>
          <w:sz w:val="22"/>
          <w:szCs w:val="22"/>
        </w:rPr>
      </w:pPr>
    </w:p>
    <w:p w14:paraId="65BEC436" w14:textId="76ADDC19" w:rsidR="003356B1" w:rsidRPr="009469C1" w:rsidRDefault="003356B1" w:rsidP="003356B1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L’intervention du </w:t>
      </w:r>
      <w:r w:rsidR="004D553B" w:rsidRPr="009469C1">
        <w:rPr>
          <w:rFonts w:cs="Arial"/>
          <w:sz w:val="22"/>
          <w:szCs w:val="22"/>
        </w:rPr>
        <w:t>CDG 59</w:t>
      </w:r>
      <w:r w:rsidRPr="009469C1">
        <w:rPr>
          <w:rFonts w:cs="Arial"/>
          <w:sz w:val="22"/>
          <w:szCs w:val="22"/>
        </w:rPr>
        <w:t xml:space="preserve"> </w:t>
      </w:r>
      <w:r w:rsidR="00195980" w:rsidRPr="009469C1">
        <w:rPr>
          <w:rFonts w:cs="Arial"/>
          <w:sz w:val="22"/>
          <w:szCs w:val="22"/>
        </w:rPr>
        <w:t>porte</w:t>
      </w:r>
      <w:r w:rsidRPr="009469C1">
        <w:rPr>
          <w:rFonts w:cs="Arial"/>
          <w:sz w:val="22"/>
          <w:szCs w:val="22"/>
        </w:rPr>
        <w:t xml:space="preserve"> sur les missions suivantes :</w:t>
      </w:r>
    </w:p>
    <w:p w14:paraId="627A4094" w14:textId="77777777" w:rsidR="003356B1" w:rsidRPr="009469C1" w:rsidRDefault="00B576CD" w:rsidP="003356B1">
      <w:pPr>
        <w:pStyle w:val="Paragraphedeliste"/>
        <w:numPr>
          <w:ilvl w:val="0"/>
          <w:numId w:val="22"/>
        </w:num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l</w:t>
      </w:r>
      <w:r w:rsidR="003356B1" w:rsidRPr="009469C1">
        <w:rPr>
          <w:rFonts w:cs="Arial"/>
          <w:sz w:val="22"/>
          <w:szCs w:val="22"/>
        </w:rPr>
        <w:t>a mise en concurrence et le choix de l’opérateur ;</w:t>
      </w:r>
    </w:p>
    <w:p w14:paraId="070C5C5D" w14:textId="77777777" w:rsidR="003356B1" w:rsidRPr="009469C1" w:rsidRDefault="00B576CD" w:rsidP="00195980">
      <w:pPr>
        <w:pStyle w:val="Paragraphedeliste"/>
        <w:numPr>
          <w:ilvl w:val="0"/>
          <w:numId w:val="22"/>
        </w:num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l</w:t>
      </w:r>
      <w:r w:rsidR="003356B1" w:rsidRPr="009469C1">
        <w:rPr>
          <w:rFonts w:cs="Arial"/>
          <w:sz w:val="22"/>
          <w:szCs w:val="22"/>
        </w:rPr>
        <w:t xml:space="preserve">’information de la collectivité sur </w:t>
      </w:r>
      <w:r w:rsidR="00195980" w:rsidRPr="009469C1">
        <w:rPr>
          <w:rFonts w:cs="Arial"/>
          <w:sz w:val="22"/>
          <w:szCs w:val="22"/>
        </w:rPr>
        <w:t>les conditions mise en œuvre des conventions de participations</w:t>
      </w:r>
    </w:p>
    <w:p w14:paraId="00401329" w14:textId="77777777" w:rsidR="003356B1" w:rsidRPr="009469C1" w:rsidRDefault="00B576CD" w:rsidP="003356B1">
      <w:pPr>
        <w:pStyle w:val="Paragraphedeliste"/>
        <w:numPr>
          <w:ilvl w:val="0"/>
          <w:numId w:val="22"/>
        </w:num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u</w:t>
      </w:r>
      <w:r w:rsidR="003356B1" w:rsidRPr="009469C1">
        <w:rPr>
          <w:rFonts w:cs="Arial"/>
          <w:sz w:val="22"/>
          <w:szCs w:val="22"/>
        </w:rPr>
        <w:t xml:space="preserve">ne réunion de </w:t>
      </w:r>
      <w:r w:rsidR="00195980" w:rsidRPr="009469C1">
        <w:rPr>
          <w:rFonts w:cs="Arial"/>
          <w:sz w:val="22"/>
          <w:szCs w:val="22"/>
        </w:rPr>
        <w:t>restitution</w:t>
      </w:r>
      <w:r w:rsidR="003356B1" w:rsidRPr="009469C1">
        <w:rPr>
          <w:rFonts w:cs="Arial"/>
          <w:sz w:val="22"/>
          <w:szCs w:val="22"/>
        </w:rPr>
        <w:t xml:space="preserve"> annuelle avec l’opérateur qui porte sur les conditions de déploiement du contrat et les difficultés rencontrées</w:t>
      </w:r>
      <w:r w:rsidRPr="009469C1">
        <w:rPr>
          <w:rFonts w:cs="Arial"/>
          <w:sz w:val="22"/>
          <w:szCs w:val="22"/>
        </w:rPr>
        <w:t xml:space="preserve"> et notamment :</w:t>
      </w:r>
    </w:p>
    <w:p w14:paraId="352BC84A" w14:textId="77777777" w:rsidR="00B576CD" w:rsidRPr="009469C1" w:rsidRDefault="00B576CD" w:rsidP="00B576CD">
      <w:pPr>
        <w:pStyle w:val="Paragraphedeliste"/>
        <w:numPr>
          <w:ilvl w:val="1"/>
          <w:numId w:val="22"/>
        </w:num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la présentation de l’analyse des comptes de la collectivité,</w:t>
      </w:r>
    </w:p>
    <w:p w14:paraId="6BAF81CB" w14:textId="77777777" w:rsidR="00E55CC0" w:rsidRPr="009469C1" w:rsidRDefault="00B576CD" w:rsidP="00B576CD">
      <w:pPr>
        <w:pStyle w:val="Paragraphedeliste"/>
        <w:numPr>
          <w:ilvl w:val="1"/>
          <w:numId w:val="22"/>
        </w:num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l’examen de la conformité des éventuelles propositions d’avenants éventuels au vu des documents contractuels,</w:t>
      </w:r>
    </w:p>
    <w:p w14:paraId="471338D7" w14:textId="77777777" w:rsidR="00B576CD" w:rsidRPr="009469C1" w:rsidRDefault="00B576CD" w:rsidP="00B576CD">
      <w:pPr>
        <w:rPr>
          <w:rFonts w:cs="Arial"/>
          <w:sz w:val="22"/>
          <w:szCs w:val="22"/>
        </w:rPr>
      </w:pPr>
    </w:p>
    <w:p w14:paraId="47785FC1" w14:textId="173626B8" w:rsidR="001D1617" w:rsidRPr="009469C1" w:rsidRDefault="001D1617" w:rsidP="00B576CD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Le </w:t>
      </w:r>
      <w:r w:rsidR="004D553B" w:rsidRPr="009469C1">
        <w:rPr>
          <w:rFonts w:cs="Arial"/>
          <w:sz w:val="22"/>
          <w:szCs w:val="22"/>
        </w:rPr>
        <w:t>CDG 59</w:t>
      </w:r>
      <w:r w:rsidRPr="009469C1">
        <w:rPr>
          <w:rFonts w:cs="Arial"/>
          <w:sz w:val="22"/>
          <w:szCs w:val="22"/>
        </w:rPr>
        <w:t xml:space="preserve"> mettra à disposition de la collectivité toute la documentation, tous les supports nécessaires au déploiement des dispositifs.</w:t>
      </w:r>
    </w:p>
    <w:p w14:paraId="6FFE4C2C" w14:textId="77777777" w:rsidR="001D1617" w:rsidRPr="009469C1" w:rsidRDefault="001D1617" w:rsidP="00B576CD">
      <w:pPr>
        <w:rPr>
          <w:rFonts w:cs="Arial"/>
          <w:sz w:val="22"/>
          <w:szCs w:val="22"/>
        </w:rPr>
      </w:pPr>
    </w:p>
    <w:p w14:paraId="09BD24C1" w14:textId="32D51554" w:rsidR="00E55CC0" w:rsidRPr="009469C1" w:rsidRDefault="00ED6566" w:rsidP="00E55CC0">
      <w:pPr>
        <w:pStyle w:val="Titre1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Article 11</w:t>
      </w:r>
      <w:r w:rsidR="00E55CC0" w:rsidRPr="009469C1">
        <w:rPr>
          <w:rFonts w:cs="Arial"/>
          <w:sz w:val="22"/>
          <w:szCs w:val="22"/>
        </w:rPr>
        <w:t xml:space="preserve"> : Conditions </w:t>
      </w:r>
      <w:r w:rsidR="00FF3CC8" w:rsidRPr="009469C1">
        <w:rPr>
          <w:rFonts w:cs="Arial"/>
          <w:sz w:val="22"/>
          <w:szCs w:val="22"/>
        </w:rPr>
        <w:t>d’intervention</w:t>
      </w:r>
    </w:p>
    <w:p w14:paraId="3837C1D4" w14:textId="77777777" w:rsidR="00E55CC0" w:rsidRPr="009469C1" w:rsidRDefault="00E55CC0" w:rsidP="00E55CC0">
      <w:pPr>
        <w:rPr>
          <w:rFonts w:cs="Arial"/>
          <w:sz w:val="22"/>
          <w:szCs w:val="22"/>
        </w:rPr>
      </w:pPr>
    </w:p>
    <w:p w14:paraId="7457C418" w14:textId="4DE2D6E2" w:rsidR="001D1617" w:rsidRPr="009469C1" w:rsidRDefault="003356B1" w:rsidP="00ED6566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La collectivité demeure seul</w:t>
      </w:r>
      <w:r w:rsidR="00B576CD" w:rsidRPr="009469C1">
        <w:rPr>
          <w:rFonts w:cs="Arial"/>
          <w:sz w:val="22"/>
          <w:szCs w:val="22"/>
        </w:rPr>
        <w:t>e</w:t>
      </w:r>
      <w:r w:rsidRPr="009469C1">
        <w:rPr>
          <w:rFonts w:cs="Arial"/>
          <w:sz w:val="22"/>
          <w:szCs w:val="22"/>
        </w:rPr>
        <w:t xml:space="preserve"> responsable </w:t>
      </w:r>
      <w:r w:rsidR="00ED6566" w:rsidRPr="009469C1">
        <w:rPr>
          <w:rFonts w:cs="Arial"/>
          <w:sz w:val="22"/>
          <w:szCs w:val="22"/>
        </w:rPr>
        <w:t xml:space="preserve">du déploiement de la </w:t>
      </w:r>
      <w:r w:rsidR="00195980" w:rsidRPr="009469C1">
        <w:rPr>
          <w:rFonts w:cs="Arial"/>
          <w:sz w:val="22"/>
          <w:szCs w:val="22"/>
        </w:rPr>
        <w:t xml:space="preserve">convention de participation et des relations </w:t>
      </w:r>
      <w:r w:rsidR="00ED6566" w:rsidRPr="009469C1">
        <w:rPr>
          <w:rFonts w:cs="Arial"/>
          <w:sz w:val="22"/>
          <w:szCs w:val="22"/>
        </w:rPr>
        <w:t>avec l’opérateur</w:t>
      </w:r>
      <w:r w:rsidR="00B576CD" w:rsidRPr="009469C1">
        <w:rPr>
          <w:rFonts w:cs="Arial"/>
          <w:sz w:val="22"/>
          <w:szCs w:val="22"/>
        </w:rPr>
        <w:t>.</w:t>
      </w:r>
    </w:p>
    <w:p w14:paraId="660ABF35" w14:textId="77777777" w:rsidR="00195980" w:rsidRPr="009469C1" w:rsidRDefault="00195980" w:rsidP="00195980">
      <w:pPr>
        <w:rPr>
          <w:rFonts w:cs="Arial"/>
          <w:sz w:val="22"/>
          <w:szCs w:val="22"/>
        </w:rPr>
      </w:pPr>
    </w:p>
    <w:p w14:paraId="45564313" w14:textId="02F7E536" w:rsidR="001D1617" w:rsidRPr="009469C1" w:rsidRDefault="00B576CD" w:rsidP="001D1617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Le </w:t>
      </w:r>
      <w:r w:rsidR="004D553B" w:rsidRPr="009469C1">
        <w:rPr>
          <w:rFonts w:cs="Arial"/>
          <w:sz w:val="22"/>
          <w:szCs w:val="22"/>
        </w:rPr>
        <w:t>CDG 59</w:t>
      </w:r>
      <w:r w:rsidRPr="009469C1">
        <w:rPr>
          <w:rFonts w:cs="Arial"/>
          <w:sz w:val="22"/>
          <w:szCs w:val="22"/>
        </w:rPr>
        <w:t xml:space="preserve"> ne peut être tenu responsable</w:t>
      </w:r>
      <w:r w:rsidR="001D1617" w:rsidRPr="009469C1">
        <w:rPr>
          <w:rFonts w:cs="Arial"/>
          <w:sz w:val="22"/>
          <w:szCs w:val="22"/>
        </w:rPr>
        <w:t> :</w:t>
      </w:r>
    </w:p>
    <w:p w14:paraId="1957FC2F" w14:textId="5B3418DC" w:rsidR="001D1617" w:rsidRPr="009469C1" w:rsidRDefault="00B576CD" w:rsidP="00ED6566">
      <w:pPr>
        <w:pStyle w:val="Paragraphedeliste"/>
        <w:numPr>
          <w:ilvl w:val="0"/>
          <w:numId w:val="22"/>
        </w:num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des manquements éventuels de l’opérateur</w:t>
      </w:r>
      <w:r w:rsidR="001D1617" w:rsidRPr="009469C1">
        <w:rPr>
          <w:rFonts w:cs="Arial"/>
          <w:sz w:val="22"/>
          <w:szCs w:val="22"/>
        </w:rPr>
        <w:t xml:space="preserve"> vis à vis des agent</w:t>
      </w:r>
      <w:r w:rsidR="00ED6566" w:rsidRPr="009469C1">
        <w:rPr>
          <w:rFonts w:cs="Arial"/>
          <w:sz w:val="22"/>
          <w:szCs w:val="22"/>
        </w:rPr>
        <w:t>s</w:t>
      </w:r>
      <w:r w:rsidRPr="009469C1">
        <w:rPr>
          <w:rFonts w:cs="Arial"/>
          <w:sz w:val="22"/>
          <w:szCs w:val="22"/>
        </w:rPr>
        <w:t xml:space="preserve">. Toutefois, en cas de litige, le </w:t>
      </w:r>
      <w:r w:rsidR="004D553B" w:rsidRPr="009469C1">
        <w:rPr>
          <w:rFonts w:cs="Arial"/>
          <w:sz w:val="22"/>
          <w:szCs w:val="22"/>
        </w:rPr>
        <w:t>CDG 59</w:t>
      </w:r>
      <w:r w:rsidRPr="009469C1">
        <w:rPr>
          <w:rFonts w:cs="Arial"/>
          <w:sz w:val="22"/>
          <w:szCs w:val="22"/>
        </w:rPr>
        <w:t xml:space="preserve"> assurera une mission de médiation</w:t>
      </w:r>
      <w:r w:rsidR="001D1617" w:rsidRPr="009469C1">
        <w:rPr>
          <w:rFonts w:cs="Arial"/>
          <w:sz w:val="22"/>
          <w:szCs w:val="22"/>
        </w:rPr>
        <w:t xml:space="preserve"> avec l’opérateur ;</w:t>
      </w:r>
    </w:p>
    <w:p w14:paraId="5F72471A" w14:textId="77777777" w:rsidR="001D1617" w:rsidRPr="009469C1" w:rsidRDefault="001D1617" w:rsidP="004B5382">
      <w:pPr>
        <w:pStyle w:val="Paragraphedeliste"/>
        <w:numPr>
          <w:ilvl w:val="0"/>
          <w:numId w:val="22"/>
        </w:num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d</w:t>
      </w:r>
      <w:r w:rsidR="004B5382" w:rsidRPr="009469C1">
        <w:rPr>
          <w:rFonts w:cs="Arial"/>
          <w:sz w:val="22"/>
          <w:szCs w:val="22"/>
        </w:rPr>
        <w:t>es augmentations tarifaires que pourraient proposer les opérateurs en applications des mécanismes légaux qui régissent protection sociale complémentaire</w:t>
      </w:r>
      <w:r w:rsidR="00A63475" w:rsidRPr="009469C1">
        <w:rPr>
          <w:rFonts w:cs="Arial"/>
          <w:sz w:val="22"/>
          <w:szCs w:val="22"/>
        </w:rPr>
        <w:t xml:space="preserve"> ainsi que des mécanismes contractuels spécifiques.</w:t>
      </w:r>
    </w:p>
    <w:p w14:paraId="3E1E9AD8" w14:textId="77777777" w:rsidR="001D1617" w:rsidRPr="009469C1" w:rsidRDefault="001D1617" w:rsidP="00195980">
      <w:pPr>
        <w:rPr>
          <w:rFonts w:cs="Arial"/>
          <w:sz w:val="22"/>
          <w:szCs w:val="22"/>
        </w:rPr>
      </w:pPr>
    </w:p>
    <w:p w14:paraId="3727279C" w14:textId="2591F83C" w:rsidR="00E55CC0" w:rsidRPr="009469C1" w:rsidRDefault="00E55CC0" w:rsidP="00E55CC0">
      <w:pPr>
        <w:pStyle w:val="Titre1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Article </w:t>
      </w:r>
      <w:r w:rsidR="00ED6566" w:rsidRPr="009469C1">
        <w:rPr>
          <w:rFonts w:cs="Arial"/>
          <w:sz w:val="22"/>
          <w:szCs w:val="22"/>
        </w:rPr>
        <w:t>12</w:t>
      </w:r>
      <w:r w:rsidRPr="009469C1">
        <w:rPr>
          <w:rFonts w:cs="Arial"/>
          <w:sz w:val="22"/>
          <w:szCs w:val="22"/>
        </w:rPr>
        <w:t> : Conditions financières</w:t>
      </w:r>
    </w:p>
    <w:p w14:paraId="74276F06" w14:textId="77777777" w:rsidR="00E55CC0" w:rsidRPr="009469C1" w:rsidRDefault="00E55CC0" w:rsidP="00E55CC0">
      <w:pPr>
        <w:rPr>
          <w:rFonts w:cs="Arial"/>
          <w:sz w:val="22"/>
          <w:szCs w:val="22"/>
        </w:rPr>
      </w:pPr>
    </w:p>
    <w:p w14:paraId="27DB33D7" w14:textId="77777777" w:rsidR="00E55CC0" w:rsidRPr="009469C1" w:rsidRDefault="00BF4920" w:rsidP="00E55CC0">
      <w:pPr>
        <w:pStyle w:val="Sous-titre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Article 12</w:t>
      </w:r>
      <w:r w:rsidR="00E55CC0" w:rsidRPr="009469C1">
        <w:rPr>
          <w:rFonts w:cs="Arial"/>
          <w:sz w:val="22"/>
          <w:szCs w:val="22"/>
        </w:rPr>
        <w:t>-1 : Conditions tarifaires</w:t>
      </w:r>
    </w:p>
    <w:p w14:paraId="1F607FEC" w14:textId="77777777" w:rsidR="00E55CC0" w:rsidRPr="009469C1" w:rsidRDefault="00E55CC0" w:rsidP="00E55CC0">
      <w:pPr>
        <w:rPr>
          <w:rFonts w:cs="Arial"/>
          <w:sz w:val="22"/>
          <w:szCs w:val="22"/>
        </w:rPr>
      </w:pPr>
    </w:p>
    <w:p w14:paraId="7084E9F8" w14:textId="115599D2" w:rsidR="0091435F" w:rsidRPr="009469C1" w:rsidRDefault="0091435F" w:rsidP="0032733D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La participation financière pour la prestation socle proposée par le </w:t>
      </w:r>
      <w:r w:rsidR="004D553B" w:rsidRPr="009469C1">
        <w:rPr>
          <w:rFonts w:cs="Arial"/>
          <w:sz w:val="22"/>
          <w:szCs w:val="22"/>
        </w:rPr>
        <w:t>CDG 59</w:t>
      </w:r>
      <w:r w:rsidRPr="009469C1">
        <w:rPr>
          <w:rFonts w:cs="Arial"/>
          <w:sz w:val="22"/>
          <w:szCs w:val="22"/>
        </w:rPr>
        <w:t xml:space="preserve"> conformément à l’article 5 de la présente conven</w:t>
      </w:r>
      <w:r w:rsidR="00ED6566" w:rsidRPr="009469C1">
        <w:rPr>
          <w:rFonts w:cs="Arial"/>
          <w:sz w:val="22"/>
          <w:szCs w:val="22"/>
        </w:rPr>
        <w:t>tion est fixée à 1 euros/agent</w:t>
      </w:r>
      <w:r w:rsidR="0032733D" w:rsidRPr="009469C1">
        <w:rPr>
          <w:rFonts w:cs="Arial"/>
          <w:sz w:val="22"/>
          <w:szCs w:val="22"/>
        </w:rPr>
        <w:t>/an susceptible d’adhérer.</w:t>
      </w:r>
    </w:p>
    <w:p w14:paraId="3610BFA3" w14:textId="77777777" w:rsidR="0091435F" w:rsidRPr="009469C1" w:rsidRDefault="0091435F" w:rsidP="0091435F">
      <w:pPr>
        <w:rPr>
          <w:rFonts w:cs="Arial"/>
          <w:sz w:val="22"/>
          <w:szCs w:val="22"/>
        </w:rPr>
      </w:pPr>
    </w:p>
    <w:p w14:paraId="3B94A376" w14:textId="6694BDA7" w:rsidR="0091435F" w:rsidRPr="009469C1" w:rsidRDefault="0091435F" w:rsidP="0091435F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Les effectifs retenus sont ceux déclarés sur le bordereau de déclaration des effectifs.</w:t>
      </w:r>
    </w:p>
    <w:p w14:paraId="40472567" w14:textId="77777777" w:rsidR="00195980" w:rsidRPr="009469C1" w:rsidRDefault="00195980" w:rsidP="00E55CC0">
      <w:pPr>
        <w:rPr>
          <w:rFonts w:cs="Arial"/>
          <w:sz w:val="22"/>
          <w:szCs w:val="22"/>
        </w:rPr>
      </w:pPr>
    </w:p>
    <w:p w14:paraId="63EEBA1C" w14:textId="77777777" w:rsidR="009469C1" w:rsidRDefault="009469C1" w:rsidP="00E55CC0">
      <w:pPr>
        <w:rPr>
          <w:rFonts w:cs="Arial"/>
          <w:sz w:val="22"/>
          <w:szCs w:val="22"/>
        </w:rPr>
      </w:pPr>
    </w:p>
    <w:p w14:paraId="77CDBC76" w14:textId="77777777" w:rsidR="009469C1" w:rsidRDefault="009469C1" w:rsidP="00E55CC0">
      <w:pPr>
        <w:rPr>
          <w:rFonts w:cs="Arial"/>
          <w:sz w:val="22"/>
          <w:szCs w:val="22"/>
        </w:rPr>
      </w:pPr>
    </w:p>
    <w:p w14:paraId="38D1D253" w14:textId="77777777" w:rsidR="009469C1" w:rsidRDefault="009469C1" w:rsidP="00E55CC0">
      <w:pPr>
        <w:rPr>
          <w:rFonts w:cs="Arial"/>
          <w:sz w:val="22"/>
          <w:szCs w:val="22"/>
        </w:rPr>
      </w:pPr>
    </w:p>
    <w:p w14:paraId="66B86C2D" w14:textId="77777777" w:rsidR="009469C1" w:rsidRDefault="009469C1" w:rsidP="00E55CC0">
      <w:pPr>
        <w:rPr>
          <w:rFonts w:cs="Arial"/>
          <w:sz w:val="22"/>
          <w:szCs w:val="22"/>
        </w:rPr>
      </w:pPr>
    </w:p>
    <w:p w14:paraId="0472A49B" w14:textId="647E921E" w:rsidR="00E55CC0" w:rsidRPr="009469C1" w:rsidRDefault="00195980" w:rsidP="00E55CC0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La participation est due pour une année entière quelle que soit la date d’effet de la convention. Il est de même en cas de </w:t>
      </w:r>
      <w:r w:rsidR="006C2EB4" w:rsidRPr="009469C1">
        <w:rPr>
          <w:rFonts w:cs="Arial"/>
          <w:sz w:val="22"/>
          <w:szCs w:val="22"/>
        </w:rPr>
        <w:t xml:space="preserve">résiliation </w:t>
      </w:r>
      <w:r w:rsidRPr="009469C1">
        <w:rPr>
          <w:rFonts w:cs="Arial"/>
          <w:sz w:val="22"/>
          <w:szCs w:val="22"/>
        </w:rPr>
        <w:t>anticipée par la collectivité en cours d’année.</w:t>
      </w:r>
    </w:p>
    <w:p w14:paraId="3D218D06" w14:textId="77777777" w:rsidR="00195980" w:rsidRPr="009469C1" w:rsidRDefault="00195980" w:rsidP="00E55CC0">
      <w:pPr>
        <w:rPr>
          <w:rFonts w:cs="Arial"/>
          <w:sz w:val="22"/>
          <w:szCs w:val="22"/>
        </w:rPr>
      </w:pPr>
    </w:p>
    <w:p w14:paraId="4B2BFA4B" w14:textId="245D7B43" w:rsidR="00E55CC0" w:rsidRPr="009469C1" w:rsidRDefault="00BF4920" w:rsidP="008E4595">
      <w:pPr>
        <w:pStyle w:val="Sous-titre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Article 1</w:t>
      </w:r>
      <w:r w:rsidR="00ED6566" w:rsidRPr="009469C1">
        <w:rPr>
          <w:rFonts w:cs="Arial"/>
          <w:sz w:val="22"/>
          <w:szCs w:val="22"/>
        </w:rPr>
        <w:t>2</w:t>
      </w:r>
      <w:r w:rsidR="00E55CC0" w:rsidRPr="009469C1">
        <w:rPr>
          <w:rFonts w:cs="Arial"/>
          <w:sz w:val="22"/>
          <w:szCs w:val="22"/>
        </w:rPr>
        <w:t>-2 : Condition</w:t>
      </w:r>
      <w:r w:rsidR="00ED6566" w:rsidRPr="009469C1">
        <w:rPr>
          <w:rFonts w:cs="Arial"/>
          <w:sz w:val="22"/>
          <w:szCs w:val="22"/>
        </w:rPr>
        <w:t>s</w:t>
      </w:r>
      <w:r w:rsidR="00E55CC0" w:rsidRPr="009469C1">
        <w:rPr>
          <w:rFonts w:cs="Arial"/>
          <w:sz w:val="22"/>
          <w:szCs w:val="22"/>
        </w:rPr>
        <w:t xml:space="preserve"> de facturation</w:t>
      </w:r>
    </w:p>
    <w:p w14:paraId="712DE449" w14:textId="77777777" w:rsidR="00E55CC0" w:rsidRPr="009469C1" w:rsidRDefault="00E55CC0" w:rsidP="00E55CC0">
      <w:pPr>
        <w:rPr>
          <w:rFonts w:cs="Arial"/>
          <w:sz w:val="22"/>
          <w:szCs w:val="22"/>
        </w:rPr>
      </w:pPr>
    </w:p>
    <w:p w14:paraId="7651FC05" w14:textId="29B28582" w:rsidR="00A21E4C" w:rsidRPr="009469C1" w:rsidRDefault="00A21E4C" w:rsidP="00ED6566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 xml:space="preserve">Le recouvrement des frais de la mission sera assuré par le </w:t>
      </w:r>
      <w:r w:rsidR="004D553B" w:rsidRPr="009469C1">
        <w:rPr>
          <w:rFonts w:cs="Arial"/>
          <w:sz w:val="22"/>
          <w:szCs w:val="22"/>
        </w:rPr>
        <w:t>CDG 59</w:t>
      </w:r>
      <w:r w:rsidRPr="009469C1">
        <w:rPr>
          <w:rFonts w:cs="Arial"/>
          <w:sz w:val="22"/>
          <w:szCs w:val="22"/>
        </w:rPr>
        <w:t xml:space="preserve"> au </w:t>
      </w:r>
      <w:r w:rsidR="005567B6" w:rsidRPr="009469C1">
        <w:rPr>
          <w:rFonts w:cs="Arial"/>
          <w:sz w:val="22"/>
          <w:szCs w:val="22"/>
        </w:rPr>
        <w:t xml:space="preserve">vu </w:t>
      </w:r>
      <w:r w:rsidR="00ED6566" w:rsidRPr="009469C1">
        <w:rPr>
          <w:rFonts w:cs="Arial"/>
          <w:sz w:val="22"/>
          <w:szCs w:val="22"/>
        </w:rPr>
        <w:t>du bordereau de déclaration des effectifs</w:t>
      </w:r>
      <w:r w:rsidR="00886CC7" w:rsidRPr="009469C1">
        <w:rPr>
          <w:rFonts w:cs="Arial"/>
          <w:sz w:val="22"/>
          <w:szCs w:val="22"/>
        </w:rPr>
        <w:t>.</w:t>
      </w:r>
    </w:p>
    <w:p w14:paraId="5BC5544B" w14:textId="77777777" w:rsidR="006C4AE2" w:rsidRPr="009469C1" w:rsidRDefault="006C4AE2" w:rsidP="006C4AE2">
      <w:pPr>
        <w:rPr>
          <w:rFonts w:cs="Arial"/>
          <w:sz w:val="22"/>
          <w:szCs w:val="22"/>
        </w:rPr>
      </w:pPr>
    </w:p>
    <w:p w14:paraId="3C3FABCB" w14:textId="77777777" w:rsidR="006C4AE2" w:rsidRPr="009469C1" w:rsidRDefault="006C4AE2" w:rsidP="006C4AE2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Le règlement interviendra par mandat administratif dont le montant sera payé à :</w:t>
      </w:r>
    </w:p>
    <w:p w14:paraId="71AE6FD2" w14:textId="77777777" w:rsidR="006C4AE2" w:rsidRPr="009469C1" w:rsidRDefault="006C4AE2" w:rsidP="006C4AE2">
      <w:pPr>
        <w:rPr>
          <w:rFonts w:cs="Arial"/>
          <w:sz w:val="22"/>
          <w:szCs w:val="22"/>
        </w:rPr>
      </w:pPr>
    </w:p>
    <w:p w14:paraId="4C04CCC4" w14:textId="77777777" w:rsidR="006C4AE2" w:rsidRPr="009469C1" w:rsidRDefault="006C4AE2" w:rsidP="006C4AE2">
      <w:pPr>
        <w:jc w:val="center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Monsieur le Trésorier Payeur Général</w:t>
      </w:r>
    </w:p>
    <w:p w14:paraId="6F30503F" w14:textId="77777777" w:rsidR="006C4AE2" w:rsidRPr="009469C1" w:rsidRDefault="006C4AE2" w:rsidP="006C4AE2">
      <w:pPr>
        <w:jc w:val="center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72/80 rue Saint-Sauveur</w:t>
      </w:r>
    </w:p>
    <w:p w14:paraId="2B8360F2" w14:textId="77777777" w:rsidR="006C4AE2" w:rsidRPr="009469C1" w:rsidRDefault="006C4AE2" w:rsidP="006C4AE2">
      <w:pPr>
        <w:jc w:val="center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59016 LILLE CEDEX</w:t>
      </w:r>
    </w:p>
    <w:p w14:paraId="6A2AF8A8" w14:textId="77777777" w:rsidR="006C4AE2" w:rsidRPr="009469C1" w:rsidRDefault="006C4AE2" w:rsidP="006C4AE2">
      <w:pPr>
        <w:rPr>
          <w:rFonts w:cs="Arial"/>
          <w:sz w:val="22"/>
          <w:szCs w:val="22"/>
        </w:rPr>
      </w:pPr>
    </w:p>
    <w:p w14:paraId="43BB9D70" w14:textId="3FAF9EB8" w:rsidR="002D56CE" w:rsidRPr="009469C1" w:rsidRDefault="002D56CE">
      <w:pPr>
        <w:autoSpaceDE/>
        <w:autoSpaceDN/>
        <w:adjustRightInd/>
        <w:spacing w:after="160" w:line="259" w:lineRule="auto"/>
        <w:jc w:val="left"/>
        <w:rPr>
          <w:rFonts w:eastAsiaTheme="majorEastAsia" w:cs="Arial"/>
          <w:b/>
          <w:bCs/>
          <w:color w:val="2E74B5" w:themeColor="accent1" w:themeShade="BF"/>
          <w:sz w:val="22"/>
          <w:szCs w:val="22"/>
        </w:rPr>
      </w:pPr>
    </w:p>
    <w:p w14:paraId="0D922F95" w14:textId="5CBDF4F1" w:rsidR="008E4595" w:rsidRPr="009469C1" w:rsidRDefault="00ED6566" w:rsidP="008E4595">
      <w:pPr>
        <w:pStyle w:val="Titre1"/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Article 13</w:t>
      </w:r>
      <w:r w:rsidR="008E4595" w:rsidRPr="009469C1">
        <w:rPr>
          <w:rFonts w:cs="Arial"/>
          <w:sz w:val="22"/>
          <w:szCs w:val="22"/>
        </w:rPr>
        <w:t> : Annexes</w:t>
      </w:r>
    </w:p>
    <w:p w14:paraId="3C3825D8" w14:textId="77777777" w:rsidR="00FD4504" w:rsidRPr="009469C1" w:rsidRDefault="00FD4504" w:rsidP="00D82CE1">
      <w:pPr>
        <w:rPr>
          <w:rFonts w:cs="Arial"/>
          <w:sz w:val="22"/>
          <w:szCs w:val="22"/>
        </w:rPr>
      </w:pPr>
    </w:p>
    <w:p w14:paraId="5110AA95" w14:textId="7D4F6A72" w:rsidR="008E4595" w:rsidRPr="009469C1" w:rsidRDefault="00ED6566" w:rsidP="00ED6566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Sont annexées à la présente convention :</w:t>
      </w:r>
    </w:p>
    <w:p w14:paraId="0459B658" w14:textId="77777777" w:rsidR="00ED6566" w:rsidRPr="009469C1" w:rsidRDefault="00ED6566" w:rsidP="00ED6566">
      <w:pPr>
        <w:rPr>
          <w:rFonts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728"/>
        <w:gridCol w:w="7400"/>
      </w:tblGrid>
      <w:tr w:rsidR="00ED6566" w:rsidRPr="009469C1" w14:paraId="13E74383" w14:textId="77777777" w:rsidTr="00A17A7D">
        <w:tc>
          <w:tcPr>
            <w:tcW w:w="1728" w:type="dxa"/>
            <w:shd w:val="clear" w:color="auto" w:fill="auto"/>
          </w:tcPr>
          <w:p w14:paraId="00B4F1A4" w14:textId="77777777" w:rsidR="00ED6566" w:rsidRPr="009469C1" w:rsidRDefault="00ED6566" w:rsidP="00ED6566">
            <w:pPr>
              <w:numPr>
                <w:ilvl w:val="0"/>
                <w:numId w:val="24"/>
              </w:numPr>
              <w:suppressAutoHyphens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9469C1">
              <w:rPr>
                <w:rFonts w:cs="Arial"/>
                <w:sz w:val="22"/>
                <w:szCs w:val="22"/>
              </w:rPr>
              <w:t>Annexe n°1</w:t>
            </w:r>
          </w:p>
        </w:tc>
        <w:tc>
          <w:tcPr>
            <w:tcW w:w="7400" w:type="dxa"/>
            <w:shd w:val="clear" w:color="auto" w:fill="auto"/>
          </w:tcPr>
          <w:p w14:paraId="38A6BF60" w14:textId="77777777" w:rsidR="00ED6566" w:rsidRPr="009469C1" w:rsidRDefault="00ED6566" w:rsidP="00A17A7D">
            <w:pPr>
              <w:rPr>
                <w:rFonts w:cs="Arial"/>
                <w:sz w:val="22"/>
                <w:szCs w:val="22"/>
              </w:rPr>
            </w:pPr>
            <w:r w:rsidRPr="009469C1">
              <w:rPr>
                <w:rFonts w:cs="Arial"/>
                <w:sz w:val="22"/>
                <w:szCs w:val="22"/>
              </w:rPr>
              <w:t>Convention de participation prévoyance, conditions générales et annexes.</w:t>
            </w:r>
          </w:p>
          <w:p w14:paraId="70089273" w14:textId="77777777" w:rsidR="00ED6566" w:rsidRPr="009469C1" w:rsidRDefault="00ED6566" w:rsidP="00A17A7D">
            <w:pPr>
              <w:rPr>
                <w:rFonts w:cs="Arial"/>
                <w:sz w:val="22"/>
                <w:szCs w:val="22"/>
              </w:rPr>
            </w:pPr>
          </w:p>
        </w:tc>
      </w:tr>
      <w:tr w:rsidR="00ED6566" w:rsidRPr="009469C1" w14:paraId="49F52E98" w14:textId="77777777" w:rsidTr="00A17A7D">
        <w:trPr>
          <w:trHeight w:val="597"/>
        </w:trPr>
        <w:tc>
          <w:tcPr>
            <w:tcW w:w="1728" w:type="dxa"/>
            <w:shd w:val="clear" w:color="auto" w:fill="auto"/>
          </w:tcPr>
          <w:p w14:paraId="2A15A446" w14:textId="77777777" w:rsidR="00ED6566" w:rsidRPr="009469C1" w:rsidRDefault="00ED6566" w:rsidP="00ED6566">
            <w:pPr>
              <w:numPr>
                <w:ilvl w:val="0"/>
                <w:numId w:val="24"/>
              </w:numPr>
              <w:suppressAutoHyphens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9469C1">
              <w:rPr>
                <w:rFonts w:cs="Arial"/>
                <w:sz w:val="22"/>
                <w:szCs w:val="22"/>
              </w:rPr>
              <w:t>Annexe n°2</w:t>
            </w:r>
          </w:p>
        </w:tc>
        <w:tc>
          <w:tcPr>
            <w:tcW w:w="7400" w:type="dxa"/>
            <w:shd w:val="clear" w:color="auto" w:fill="auto"/>
          </w:tcPr>
          <w:p w14:paraId="1B4BE74D" w14:textId="77777777" w:rsidR="00ED6566" w:rsidRPr="009469C1" w:rsidRDefault="00ED6566" w:rsidP="00A17A7D">
            <w:pPr>
              <w:rPr>
                <w:rFonts w:cs="Arial"/>
                <w:sz w:val="22"/>
                <w:szCs w:val="22"/>
              </w:rPr>
            </w:pPr>
            <w:r w:rsidRPr="009469C1">
              <w:rPr>
                <w:rFonts w:cs="Arial"/>
                <w:sz w:val="22"/>
                <w:szCs w:val="22"/>
              </w:rPr>
              <w:t xml:space="preserve">Délibération de la Collectivité pour l’adhésion à la convention de participation faisant apparaitre les modalités de participation financière. </w:t>
            </w:r>
          </w:p>
        </w:tc>
      </w:tr>
      <w:tr w:rsidR="00ED6566" w:rsidRPr="009469C1" w14:paraId="40F249CC" w14:textId="77777777" w:rsidTr="00A17A7D">
        <w:trPr>
          <w:trHeight w:val="597"/>
        </w:trPr>
        <w:tc>
          <w:tcPr>
            <w:tcW w:w="1728" w:type="dxa"/>
            <w:shd w:val="clear" w:color="auto" w:fill="auto"/>
          </w:tcPr>
          <w:p w14:paraId="18CB8E7A" w14:textId="2F508D82" w:rsidR="00ED6566" w:rsidRPr="009469C1" w:rsidRDefault="00ED6566" w:rsidP="00ED6566">
            <w:pPr>
              <w:numPr>
                <w:ilvl w:val="0"/>
                <w:numId w:val="24"/>
              </w:numPr>
              <w:suppressAutoHyphens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9469C1">
              <w:rPr>
                <w:rFonts w:cs="Arial"/>
                <w:sz w:val="22"/>
                <w:szCs w:val="22"/>
              </w:rPr>
              <w:t>Annexe n°3</w:t>
            </w:r>
          </w:p>
        </w:tc>
        <w:tc>
          <w:tcPr>
            <w:tcW w:w="7400" w:type="dxa"/>
            <w:shd w:val="clear" w:color="auto" w:fill="auto"/>
          </w:tcPr>
          <w:p w14:paraId="542595D7" w14:textId="4D6481AE" w:rsidR="00ED6566" w:rsidRPr="009469C1" w:rsidRDefault="0032733D" w:rsidP="00A17A7D">
            <w:pPr>
              <w:rPr>
                <w:rFonts w:cs="Arial"/>
                <w:sz w:val="22"/>
                <w:szCs w:val="22"/>
              </w:rPr>
            </w:pPr>
            <w:r w:rsidRPr="009469C1">
              <w:rPr>
                <w:rFonts w:cs="Arial"/>
                <w:sz w:val="22"/>
                <w:szCs w:val="22"/>
              </w:rPr>
              <w:t>Le bordereau de déclaration des effectifs.</w:t>
            </w:r>
          </w:p>
        </w:tc>
      </w:tr>
    </w:tbl>
    <w:p w14:paraId="6AB38748" w14:textId="77777777" w:rsidR="00ED6566" w:rsidRPr="009469C1" w:rsidRDefault="00ED6566" w:rsidP="00ED6566">
      <w:pPr>
        <w:rPr>
          <w:rFonts w:cs="Arial"/>
          <w:sz w:val="22"/>
          <w:szCs w:val="22"/>
        </w:rPr>
      </w:pPr>
    </w:p>
    <w:p w14:paraId="0F93BD70" w14:textId="77777777" w:rsidR="002D56CE" w:rsidRPr="009469C1" w:rsidRDefault="002D56CE" w:rsidP="008E4595">
      <w:pPr>
        <w:rPr>
          <w:rFonts w:cs="Arial"/>
          <w:sz w:val="22"/>
          <w:szCs w:val="22"/>
        </w:rPr>
      </w:pPr>
    </w:p>
    <w:p w14:paraId="31D72CCF" w14:textId="77777777" w:rsidR="002D56CE" w:rsidRPr="009469C1" w:rsidRDefault="002D56CE" w:rsidP="008E4595">
      <w:pPr>
        <w:rPr>
          <w:rFonts w:cs="Arial"/>
          <w:sz w:val="22"/>
          <w:szCs w:val="22"/>
        </w:rPr>
      </w:pPr>
    </w:p>
    <w:p w14:paraId="4A94EDB3" w14:textId="77777777" w:rsidR="002D56CE" w:rsidRPr="009469C1" w:rsidRDefault="002D56CE" w:rsidP="002D56CE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Fait en deux exemplaires</w:t>
      </w:r>
    </w:p>
    <w:p w14:paraId="4E6FBA1A" w14:textId="77777777" w:rsidR="002D56CE" w:rsidRPr="009469C1" w:rsidRDefault="002D56CE" w:rsidP="002D56CE">
      <w:pPr>
        <w:rPr>
          <w:rFonts w:cs="Arial"/>
          <w:sz w:val="22"/>
          <w:szCs w:val="22"/>
        </w:rPr>
      </w:pPr>
    </w:p>
    <w:p w14:paraId="2F435BA0" w14:textId="77777777" w:rsidR="002D56CE" w:rsidRPr="009469C1" w:rsidRDefault="002D56CE" w:rsidP="002D56CE">
      <w:pPr>
        <w:rPr>
          <w:rFonts w:cs="Arial"/>
          <w:sz w:val="22"/>
          <w:szCs w:val="22"/>
        </w:rPr>
      </w:pPr>
      <w:r w:rsidRPr="009469C1">
        <w:rPr>
          <w:rFonts w:cs="Arial"/>
          <w:sz w:val="22"/>
          <w:szCs w:val="22"/>
        </w:rPr>
        <w:t>A Lille, le</w:t>
      </w:r>
    </w:p>
    <w:p w14:paraId="461EDD58" w14:textId="77777777" w:rsidR="002D56CE" w:rsidRPr="009469C1" w:rsidRDefault="002D56CE" w:rsidP="002D56CE">
      <w:pPr>
        <w:rPr>
          <w:rFonts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56CE" w:rsidRPr="009469C1" w14:paraId="2D10F494" w14:textId="77777777" w:rsidTr="00C06330">
        <w:tc>
          <w:tcPr>
            <w:tcW w:w="4531" w:type="dxa"/>
          </w:tcPr>
          <w:p w14:paraId="291E591A" w14:textId="77777777" w:rsidR="002D56CE" w:rsidRPr="009469C1" w:rsidRDefault="002D56CE" w:rsidP="00C06330">
            <w:pPr>
              <w:rPr>
                <w:rFonts w:cs="Arial"/>
                <w:sz w:val="22"/>
                <w:szCs w:val="22"/>
              </w:rPr>
            </w:pPr>
            <w:r w:rsidRPr="009469C1">
              <w:rPr>
                <w:rFonts w:cs="Arial"/>
                <w:sz w:val="22"/>
                <w:szCs w:val="22"/>
              </w:rPr>
              <w:t>Pour la collectivité / l’établissement</w:t>
            </w:r>
          </w:p>
          <w:p w14:paraId="2F6B5B70" w14:textId="77777777" w:rsidR="002D56CE" w:rsidRDefault="002D56CE" w:rsidP="00C06330">
            <w:pPr>
              <w:rPr>
                <w:rFonts w:cs="Arial"/>
                <w:sz w:val="22"/>
                <w:szCs w:val="22"/>
              </w:rPr>
            </w:pPr>
          </w:p>
          <w:p w14:paraId="1E8C4090" w14:textId="77777777" w:rsidR="009469C1" w:rsidRPr="009469C1" w:rsidRDefault="009469C1" w:rsidP="00C06330">
            <w:pPr>
              <w:rPr>
                <w:rFonts w:cs="Arial"/>
                <w:sz w:val="22"/>
                <w:szCs w:val="22"/>
              </w:rPr>
            </w:pPr>
          </w:p>
          <w:p w14:paraId="449F96ED" w14:textId="77777777" w:rsidR="002D56CE" w:rsidRPr="009469C1" w:rsidRDefault="002D56CE" w:rsidP="00C06330">
            <w:pPr>
              <w:rPr>
                <w:rFonts w:cs="Arial"/>
                <w:sz w:val="22"/>
                <w:szCs w:val="22"/>
              </w:rPr>
            </w:pPr>
            <w:r w:rsidRPr="009469C1">
              <w:rPr>
                <w:rFonts w:cs="Arial"/>
                <w:sz w:val="22"/>
                <w:szCs w:val="22"/>
              </w:rPr>
              <w:t>Nom Prénom</w:t>
            </w:r>
          </w:p>
          <w:p w14:paraId="396DE7A0" w14:textId="77777777" w:rsidR="002D56CE" w:rsidRPr="009469C1" w:rsidRDefault="002D56CE" w:rsidP="00C06330">
            <w:pPr>
              <w:rPr>
                <w:rFonts w:cs="Arial"/>
                <w:sz w:val="22"/>
                <w:szCs w:val="22"/>
              </w:rPr>
            </w:pPr>
          </w:p>
          <w:p w14:paraId="485BC3AF" w14:textId="77777777" w:rsidR="002D56CE" w:rsidRPr="009469C1" w:rsidRDefault="002D56CE" w:rsidP="00C06330">
            <w:pPr>
              <w:rPr>
                <w:rFonts w:cs="Arial"/>
                <w:sz w:val="22"/>
                <w:szCs w:val="22"/>
              </w:rPr>
            </w:pPr>
          </w:p>
          <w:p w14:paraId="036EF342" w14:textId="77777777" w:rsidR="002D56CE" w:rsidRPr="009469C1" w:rsidRDefault="002D56CE" w:rsidP="00C06330">
            <w:pPr>
              <w:rPr>
                <w:rFonts w:cs="Arial"/>
                <w:sz w:val="22"/>
                <w:szCs w:val="22"/>
              </w:rPr>
            </w:pPr>
          </w:p>
          <w:p w14:paraId="5276E6EB" w14:textId="77777777" w:rsidR="002D56CE" w:rsidRPr="009469C1" w:rsidRDefault="002D56CE" w:rsidP="00C06330">
            <w:pPr>
              <w:rPr>
                <w:rFonts w:cs="Arial"/>
                <w:sz w:val="22"/>
                <w:szCs w:val="22"/>
              </w:rPr>
            </w:pPr>
          </w:p>
          <w:p w14:paraId="3685AB33" w14:textId="77777777" w:rsidR="002D56CE" w:rsidRPr="009469C1" w:rsidRDefault="002D56CE" w:rsidP="00C06330">
            <w:pPr>
              <w:rPr>
                <w:rFonts w:cs="Arial"/>
                <w:sz w:val="22"/>
                <w:szCs w:val="22"/>
              </w:rPr>
            </w:pPr>
          </w:p>
          <w:p w14:paraId="41059799" w14:textId="77777777" w:rsidR="002D56CE" w:rsidRPr="009469C1" w:rsidRDefault="002D56CE" w:rsidP="00C0633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E959AC8" w14:textId="1CC45181" w:rsidR="002D56CE" w:rsidRPr="009469C1" w:rsidRDefault="002D56CE" w:rsidP="00C06330">
            <w:pPr>
              <w:jc w:val="left"/>
              <w:rPr>
                <w:rFonts w:cs="Arial"/>
                <w:sz w:val="22"/>
                <w:szCs w:val="22"/>
              </w:rPr>
            </w:pPr>
            <w:r w:rsidRPr="009469C1">
              <w:rPr>
                <w:rFonts w:cs="Arial"/>
                <w:sz w:val="22"/>
                <w:szCs w:val="22"/>
              </w:rPr>
              <w:t xml:space="preserve">Pour le </w:t>
            </w:r>
            <w:r w:rsidR="004D553B" w:rsidRPr="009469C1">
              <w:rPr>
                <w:rFonts w:cs="Arial"/>
                <w:sz w:val="22"/>
                <w:szCs w:val="22"/>
              </w:rPr>
              <w:t>CDG 59</w:t>
            </w:r>
            <w:r w:rsidRPr="009469C1">
              <w:rPr>
                <w:rFonts w:cs="Arial"/>
                <w:sz w:val="22"/>
                <w:szCs w:val="22"/>
              </w:rPr>
              <w:t xml:space="preserve"> </w:t>
            </w:r>
          </w:p>
          <w:p w14:paraId="39D3FA88" w14:textId="77777777" w:rsidR="002D56CE" w:rsidRPr="009469C1" w:rsidRDefault="002D56CE" w:rsidP="00C06330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5316EE1C" w14:textId="400C76C0" w:rsidR="002D56CE" w:rsidRPr="009469C1" w:rsidRDefault="0055653E" w:rsidP="00C06330">
            <w:pPr>
              <w:jc w:val="left"/>
              <w:rPr>
                <w:rFonts w:cs="Arial"/>
                <w:sz w:val="22"/>
                <w:szCs w:val="22"/>
              </w:rPr>
            </w:pPr>
            <w:r w:rsidRPr="009469C1">
              <w:rPr>
                <w:rFonts w:cs="Arial"/>
                <w:sz w:val="22"/>
                <w:szCs w:val="22"/>
              </w:rPr>
              <w:t>Nom Prénom</w:t>
            </w:r>
          </w:p>
          <w:p w14:paraId="5DE0F67E" w14:textId="77777777" w:rsidR="009469C1" w:rsidRDefault="009469C1" w:rsidP="009469C1">
            <w:pPr>
              <w:spacing w:before="24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Marie-Josée DEPREZ</w:t>
            </w:r>
          </w:p>
          <w:p w14:paraId="1A5D1831" w14:textId="77777777" w:rsidR="009469C1" w:rsidRDefault="009469C1" w:rsidP="009469C1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Administratrice déléguée du CDG 59</w:t>
            </w:r>
          </w:p>
          <w:p w14:paraId="131DE450" w14:textId="0075D02B" w:rsidR="00A916D6" w:rsidRPr="009469C1" w:rsidRDefault="009469C1" w:rsidP="009469C1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asciiTheme="majorHAnsi" w:hAnsiTheme="majorHAnsi" w:cs="Arial"/>
              </w:rPr>
              <w:t>Maire de CLARY</w:t>
            </w:r>
          </w:p>
          <w:p w14:paraId="31B97AF8" w14:textId="77777777" w:rsidR="002D56CE" w:rsidRPr="009469C1" w:rsidRDefault="002D56CE" w:rsidP="00C06330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33AF4AEB" w14:textId="77777777" w:rsidR="002D56CE" w:rsidRPr="009469C1" w:rsidRDefault="002D56CE" w:rsidP="00C06330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66D9F681" w14:textId="77777777" w:rsidR="002D56CE" w:rsidRPr="009469C1" w:rsidRDefault="002D56CE" w:rsidP="00C06330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52D2AA99" w14:textId="77777777" w:rsidR="002D56CE" w:rsidRPr="009469C1" w:rsidRDefault="002D56CE" w:rsidP="00C06330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76E79375" w14:textId="77777777" w:rsidR="002D56CE" w:rsidRPr="009469C1" w:rsidRDefault="002D56CE" w:rsidP="00C0633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E839C04" w14:textId="77777777" w:rsidR="002D56CE" w:rsidRPr="009469C1" w:rsidRDefault="002D56CE" w:rsidP="002D56CE">
      <w:pPr>
        <w:rPr>
          <w:rFonts w:cs="Arial"/>
          <w:sz w:val="22"/>
          <w:szCs w:val="22"/>
        </w:rPr>
      </w:pPr>
    </w:p>
    <w:p w14:paraId="1A0545E2" w14:textId="77777777" w:rsidR="002D56CE" w:rsidRPr="009469C1" w:rsidRDefault="002D56CE" w:rsidP="002D56CE">
      <w:pPr>
        <w:rPr>
          <w:rFonts w:cs="Arial"/>
          <w:sz w:val="22"/>
          <w:szCs w:val="22"/>
        </w:rPr>
      </w:pPr>
    </w:p>
    <w:p w14:paraId="26DEC0BE" w14:textId="77777777" w:rsidR="002D56CE" w:rsidRPr="009469C1" w:rsidRDefault="002D56CE" w:rsidP="008E4595">
      <w:pPr>
        <w:rPr>
          <w:rFonts w:cs="Arial"/>
          <w:sz w:val="22"/>
          <w:szCs w:val="22"/>
        </w:rPr>
      </w:pPr>
    </w:p>
    <w:sectPr w:rsidR="002D56CE" w:rsidRPr="009469C1" w:rsidSect="009469C1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7425F" w14:textId="77777777" w:rsidR="00DC794F" w:rsidRDefault="00DC794F" w:rsidP="00DC794F">
      <w:r>
        <w:separator/>
      </w:r>
    </w:p>
  </w:endnote>
  <w:endnote w:type="continuationSeparator" w:id="0">
    <w:p w14:paraId="67BE4BE4" w14:textId="77777777" w:rsidR="00DC794F" w:rsidRDefault="00DC794F" w:rsidP="00DC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Pro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28E7D" w14:textId="1CDC1B29" w:rsidR="009469C1" w:rsidRPr="009469C1" w:rsidRDefault="009469C1" w:rsidP="009469C1">
    <w:pPr>
      <w:pStyle w:val="Pieddepage"/>
      <w:pBdr>
        <w:top w:val="single" w:sz="8" w:space="3" w:color="A5A5A5" w:themeColor="accent3"/>
      </w:pBdr>
      <w:tabs>
        <w:tab w:val="left" w:pos="216"/>
      </w:tabs>
      <w:spacing w:line="360" w:lineRule="auto"/>
      <w:jc w:val="left"/>
      <w:rPr>
        <w:noProof/>
        <w:sz w:val="16"/>
        <w:szCs w:val="16"/>
        <w:lang w:eastAsia="fr-FR"/>
      </w:rPr>
    </w:pPr>
    <w:r w:rsidRPr="0071404B">
      <w:rPr>
        <w:noProof/>
        <w:sz w:val="16"/>
        <w:szCs w:val="16"/>
        <w:lang w:eastAsia="fr-FR"/>
      </w:rPr>
      <w:drawing>
        <wp:anchor distT="0" distB="0" distL="114300" distR="114300" simplePos="0" relativeHeight="251659264" behindDoc="0" locked="0" layoutInCell="1" allowOverlap="1" wp14:anchorId="710B751E" wp14:editId="5E4F221A">
          <wp:simplePos x="0" y="0"/>
          <wp:positionH relativeFrom="page">
            <wp:posOffset>390525</wp:posOffset>
          </wp:positionH>
          <wp:positionV relativeFrom="page">
            <wp:posOffset>9952990</wp:posOffset>
          </wp:positionV>
          <wp:extent cx="828675" cy="546735"/>
          <wp:effectExtent l="0" t="0" r="9525" b="5715"/>
          <wp:wrapSquare wrapText="bothSides"/>
          <wp:docPr id="477362854" name="Image 477362854" descr="Une image contenant Graphique, capture d’écran, Caractère coloré, Rectang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7" descr="Une image contenant Graphique, capture d’écran, Caractère coloré, Rectangl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04B">
      <w:rPr>
        <w:sz w:val="16"/>
        <w:szCs w:val="16"/>
      </w:rPr>
      <w:t xml:space="preserve">14 rue Jeanne </w:t>
    </w:r>
    <w:proofErr w:type="spellStart"/>
    <w:r w:rsidRPr="0071404B">
      <w:rPr>
        <w:sz w:val="16"/>
        <w:szCs w:val="16"/>
      </w:rPr>
      <w:t>Maillotte</w:t>
    </w:r>
    <w:proofErr w:type="spellEnd"/>
    <w:r w:rsidRPr="0071404B">
      <w:rPr>
        <w:sz w:val="16"/>
        <w:szCs w:val="16"/>
      </w:rPr>
      <w:t xml:space="preserve"> – CS 71222 – 59013 Lille Cedex </w:t>
    </w:r>
    <w:r>
      <w:rPr>
        <w:sz w:val="16"/>
        <w:szCs w:val="16"/>
      </w:rPr>
      <w:t xml:space="preserve">– Tél. </w:t>
    </w:r>
    <w:r w:rsidRPr="0071404B">
      <w:rPr>
        <w:sz w:val="16"/>
        <w:szCs w:val="16"/>
      </w:rPr>
      <w:t xml:space="preserve">03 59 56 88 00 - </w:t>
    </w:r>
    <w:hyperlink r:id="rId2" w:history="1">
      <w:r w:rsidRPr="0071404B">
        <w:rPr>
          <w:rStyle w:val="Lienhypertexte"/>
          <w:sz w:val="16"/>
          <w:szCs w:val="16"/>
        </w:rPr>
        <w:t>http://www.cdg59.fr/</w:t>
      </w:r>
    </w:hyperlink>
    <w:r w:rsidRPr="0071404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7968D9">
      <w:rPr>
        <w:sz w:val="16"/>
        <w:szCs w:val="16"/>
      </w:rPr>
      <w:fldChar w:fldCharType="begin"/>
    </w:r>
    <w:r w:rsidRPr="007968D9">
      <w:rPr>
        <w:sz w:val="16"/>
        <w:szCs w:val="16"/>
      </w:rPr>
      <w:instrText>PAGE   \* MERGEFORMAT</w:instrText>
    </w:r>
    <w:r w:rsidRPr="007968D9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7968D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5ED7B" w14:textId="77777777" w:rsidR="00DC794F" w:rsidRDefault="00DC794F" w:rsidP="00DC794F">
      <w:r>
        <w:separator/>
      </w:r>
    </w:p>
  </w:footnote>
  <w:footnote w:type="continuationSeparator" w:id="0">
    <w:p w14:paraId="0AA3010B" w14:textId="77777777" w:rsidR="00DC794F" w:rsidRDefault="00DC794F" w:rsidP="00DC7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A7FEB"/>
    <w:multiLevelType w:val="hybridMultilevel"/>
    <w:tmpl w:val="432A0930"/>
    <w:lvl w:ilvl="0" w:tplc="5CA48DD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MyriadPro-C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731C"/>
    <w:multiLevelType w:val="hybridMultilevel"/>
    <w:tmpl w:val="B7C44EDA"/>
    <w:lvl w:ilvl="0" w:tplc="5CA48DD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MyriadPro-C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320F3"/>
    <w:multiLevelType w:val="hybridMultilevel"/>
    <w:tmpl w:val="4D2ACB22"/>
    <w:lvl w:ilvl="0" w:tplc="5CA48DD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MyriadPro-C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49DE"/>
    <w:multiLevelType w:val="hybridMultilevel"/>
    <w:tmpl w:val="423415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D1EB0"/>
    <w:multiLevelType w:val="hybridMultilevel"/>
    <w:tmpl w:val="FFA89298"/>
    <w:lvl w:ilvl="0" w:tplc="5CA48DD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MyriadPro-C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36A16"/>
    <w:multiLevelType w:val="hybridMultilevel"/>
    <w:tmpl w:val="4EB038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9327CC"/>
    <w:multiLevelType w:val="hybridMultilevel"/>
    <w:tmpl w:val="65E0BB2A"/>
    <w:lvl w:ilvl="0" w:tplc="C48CE5E6">
      <w:start w:val="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MyriadPro-C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17368"/>
    <w:multiLevelType w:val="hybridMultilevel"/>
    <w:tmpl w:val="54C2329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0183F"/>
    <w:multiLevelType w:val="hybridMultilevel"/>
    <w:tmpl w:val="CFD6CCC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3F16F16"/>
    <w:multiLevelType w:val="hybridMultilevel"/>
    <w:tmpl w:val="546E6748"/>
    <w:lvl w:ilvl="0" w:tplc="AC3C2F5C">
      <w:start w:val="2"/>
      <w:numFmt w:val="bullet"/>
      <w:lvlText w:val="-"/>
      <w:lvlJc w:val="left"/>
      <w:pPr>
        <w:ind w:left="363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381946AD"/>
    <w:multiLevelType w:val="hybridMultilevel"/>
    <w:tmpl w:val="33B042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31D86"/>
    <w:multiLevelType w:val="hybridMultilevel"/>
    <w:tmpl w:val="85C69A40"/>
    <w:lvl w:ilvl="0" w:tplc="E4BA3958">
      <w:start w:val="2"/>
      <w:numFmt w:val="bullet"/>
      <w:lvlText w:val="-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53AAB"/>
    <w:multiLevelType w:val="hybridMultilevel"/>
    <w:tmpl w:val="6460558E"/>
    <w:lvl w:ilvl="0" w:tplc="5CA48DD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MyriadPro-C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2291"/>
    <w:multiLevelType w:val="hybridMultilevel"/>
    <w:tmpl w:val="7DE8CDC8"/>
    <w:lvl w:ilvl="0" w:tplc="22CC3CF4">
      <w:numFmt w:val="bullet"/>
      <w:lvlText w:val="-"/>
      <w:lvlJc w:val="left"/>
      <w:pPr>
        <w:ind w:left="1854" w:hanging="360"/>
      </w:pPr>
      <w:rPr>
        <w:rFonts w:ascii="Trebuchet MS" w:eastAsia="Times New Roman" w:hAnsi="Trebuchet MS" w:cs="Tahoma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218558B"/>
    <w:multiLevelType w:val="hybridMultilevel"/>
    <w:tmpl w:val="149E7950"/>
    <w:lvl w:ilvl="0" w:tplc="DDFA57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E62B8"/>
    <w:multiLevelType w:val="hybridMultilevel"/>
    <w:tmpl w:val="167CFBE4"/>
    <w:lvl w:ilvl="0" w:tplc="E4BA3958">
      <w:start w:val="2"/>
      <w:numFmt w:val="bullet"/>
      <w:lvlText w:val="-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D1C2E"/>
    <w:multiLevelType w:val="hybridMultilevel"/>
    <w:tmpl w:val="790E6B6A"/>
    <w:lvl w:ilvl="0" w:tplc="AC3C2F5C">
      <w:start w:val="2"/>
      <w:numFmt w:val="bullet"/>
      <w:lvlText w:val="-"/>
      <w:lvlJc w:val="left"/>
      <w:pPr>
        <w:ind w:left="363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A48B3"/>
    <w:multiLevelType w:val="hybridMultilevel"/>
    <w:tmpl w:val="6F64BFD0"/>
    <w:lvl w:ilvl="0" w:tplc="AC3C2F5C">
      <w:start w:val="2"/>
      <w:numFmt w:val="bullet"/>
      <w:lvlText w:val="-"/>
      <w:lvlJc w:val="left"/>
      <w:pPr>
        <w:ind w:left="363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B7639"/>
    <w:multiLevelType w:val="hybridMultilevel"/>
    <w:tmpl w:val="D49017DA"/>
    <w:lvl w:ilvl="0" w:tplc="AC3C2F5C">
      <w:start w:val="2"/>
      <w:numFmt w:val="bullet"/>
      <w:lvlText w:val="-"/>
      <w:lvlJc w:val="left"/>
      <w:pPr>
        <w:ind w:left="363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83E7B"/>
    <w:multiLevelType w:val="hybridMultilevel"/>
    <w:tmpl w:val="8724F5F0"/>
    <w:lvl w:ilvl="0" w:tplc="AC3C2F5C">
      <w:start w:val="2"/>
      <w:numFmt w:val="bullet"/>
      <w:lvlText w:val="-"/>
      <w:lvlJc w:val="left"/>
      <w:pPr>
        <w:ind w:left="363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7148D"/>
    <w:multiLevelType w:val="hybridMultilevel"/>
    <w:tmpl w:val="2A766EF4"/>
    <w:lvl w:ilvl="0" w:tplc="5CA48DD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MyriadPro-C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C52ED"/>
    <w:multiLevelType w:val="hybridMultilevel"/>
    <w:tmpl w:val="49F47D68"/>
    <w:lvl w:ilvl="0" w:tplc="5CA48DD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MyriadPro-C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E6C5A"/>
    <w:multiLevelType w:val="hybridMultilevel"/>
    <w:tmpl w:val="F9D2B0B4"/>
    <w:lvl w:ilvl="0" w:tplc="5CA48DD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MyriadPro-C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344144">
    <w:abstractNumId w:val="11"/>
  </w:num>
  <w:num w:numId="2" w16cid:durableId="50541793">
    <w:abstractNumId w:val="3"/>
  </w:num>
  <w:num w:numId="3" w16cid:durableId="741489986">
    <w:abstractNumId w:val="12"/>
  </w:num>
  <w:num w:numId="4" w16cid:durableId="17046060">
    <w:abstractNumId w:val="13"/>
  </w:num>
  <w:num w:numId="5" w16cid:durableId="1871409349">
    <w:abstractNumId w:val="2"/>
  </w:num>
  <w:num w:numId="6" w16cid:durableId="2076663693">
    <w:abstractNumId w:val="0"/>
  </w:num>
  <w:num w:numId="7" w16cid:durableId="2005088044">
    <w:abstractNumId w:val="9"/>
  </w:num>
  <w:num w:numId="8" w16cid:durableId="1877961224">
    <w:abstractNumId w:val="6"/>
  </w:num>
  <w:num w:numId="9" w16cid:durableId="1476527190">
    <w:abstractNumId w:val="18"/>
  </w:num>
  <w:num w:numId="10" w16cid:durableId="584728155">
    <w:abstractNumId w:val="16"/>
  </w:num>
  <w:num w:numId="11" w16cid:durableId="18238491">
    <w:abstractNumId w:val="19"/>
  </w:num>
  <w:num w:numId="12" w16cid:durableId="27878287">
    <w:abstractNumId w:val="17"/>
  </w:num>
  <w:num w:numId="13" w16cid:durableId="1457721849">
    <w:abstractNumId w:val="4"/>
  </w:num>
  <w:num w:numId="14" w16cid:durableId="1662732127">
    <w:abstractNumId w:val="20"/>
  </w:num>
  <w:num w:numId="15" w16cid:durableId="715856848">
    <w:abstractNumId w:val="8"/>
  </w:num>
  <w:num w:numId="16" w16cid:durableId="1635134922">
    <w:abstractNumId w:val="7"/>
  </w:num>
  <w:num w:numId="17" w16cid:durableId="1117027074">
    <w:abstractNumId w:val="10"/>
  </w:num>
  <w:num w:numId="18" w16cid:durableId="1137070641">
    <w:abstractNumId w:val="14"/>
  </w:num>
  <w:num w:numId="19" w16cid:durableId="948777164">
    <w:abstractNumId w:val="22"/>
  </w:num>
  <w:num w:numId="20" w16cid:durableId="1415322466">
    <w:abstractNumId w:val="21"/>
  </w:num>
  <w:num w:numId="21" w16cid:durableId="790976705">
    <w:abstractNumId w:val="1"/>
  </w:num>
  <w:num w:numId="22" w16cid:durableId="528683884">
    <w:abstractNumId w:val="15"/>
  </w:num>
  <w:num w:numId="23" w16cid:durableId="109057436">
    <w:abstractNumId w:val="0"/>
  </w:num>
  <w:num w:numId="24" w16cid:durableId="1208570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51"/>
    <w:rsid w:val="00033ABD"/>
    <w:rsid w:val="00082C5B"/>
    <w:rsid w:val="000A3DA9"/>
    <w:rsid w:val="000D4CF4"/>
    <w:rsid w:val="00143D72"/>
    <w:rsid w:val="00181F02"/>
    <w:rsid w:val="00195980"/>
    <w:rsid w:val="001A072E"/>
    <w:rsid w:val="001D1617"/>
    <w:rsid w:val="001F4008"/>
    <w:rsid w:val="002535C1"/>
    <w:rsid w:val="002843DE"/>
    <w:rsid w:val="002A3FBC"/>
    <w:rsid w:val="002D2383"/>
    <w:rsid w:val="002D56CE"/>
    <w:rsid w:val="0032733D"/>
    <w:rsid w:val="003356B1"/>
    <w:rsid w:val="00373A20"/>
    <w:rsid w:val="00373EE6"/>
    <w:rsid w:val="003D78DE"/>
    <w:rsid w:val="003E0196"/>
    <w:rsid w:val="004B5382"/>
    <w:rsid w:val="004D22C1"/>
    <w:rsid w:val="004D553B"/>
    <w:rsid w:val="004E246B"/>
    <w:rsid w:val="004F4A3F"/>
    <w:rsid w:val="004F7A05"/>
    <w:rsid w:val="00543988"/>
    <w:rsid w:val="0055653E"/>
    <w:rsid w:val="005567B6"/>
    <w:rsid w:val="006633C0"/>
    <w:rsid w:val="006C2EB4"/>
    <w:rsid w:val="006C4AE2"/>
    <w:rsid w:val="00722581"/>
    <w:rsid w:val="00764223"/>
    <w:rsid w:val="007B7557"/>
    <w:rsid w:val="00800C86"/>
    <w:rsid w:val="0083692A"/>
    <w:rsid w:val="00863C07"/>
    <w:rsid w:val="00886CC7"/>
    <w:rsid w:val="008C1FED"/>
    <w:rsid w:val="008D26EC"/>
    <w:rsid w:val="008E3EF8"/>
    <w:rsid w:val="008E4595"/>
    <w:rsid w:val="008E6B74"/>
    <w:rsid w:val="0091435F"/>
    <w:rsid w:val="00915BF0"/>
    <w:rsid w:val="00934D49"/>
    <w:rsid w:val="00945379"/>
    <w:rsid w:val="009469C1"/>
    <w:rsid w:val="00965EC9"/>
    <w:rsid w:val="009A3B2A"/>
    <w:rsid w:val="009B176C"/>
    <w:rsid w:val="009B680F"/>
    <w:rsid w:val="00A00D45"/>
    <w:rsid w:val="00A13F46"/>
    <w:rsid w:val="00A175C6"/>
    <w:rsid w:val="00A21E4C"/>
    <w:rsid w:val="00A24602"/>
    <w:rsid w:val="00A63475"/>
    <w:rsid w:val="00A815D7"/>
    <w:rsid w:val="00A916D6"/>
    <w:rsid w:val="00AA4E84"/>
    <w:rsid w:val="00AB6A8B"/>
    <w:rsid w:val="00AD708D"/>
    <w:rsid w:val="00AF1F2D"/>
    <w:rsid w:val="00B26448"/>
    <w:rsid w:val="00B576CD"/>
    <w:rsid w:val="00BF4920"/>
    <w:rsid w:val="00C86551"/>
    <w:rsid w:val="00D82CE1"/>
    <w:rsid w:val="00DB33D0"/>
    <w:rsid w:val="00DC794F"/>
    <w:rsid w:val="00DE3A5B"/>
    <w:rsid w:val="00E55CC0"/>
    <w:rsid w:val="00E57271"/>
    <w:rsid w:val="00E8206F"/>
    <w:rsid w:val="00E8533E"/>
    <w:rsid w:val="00ED6566"/>
    <w:rsid w:val="00F22AD8"/>
    <w:rsid w:val="00F34E44"/>
    <w:rsid w:val="00FD4504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D716"/>
  <w15:chartTrackingRefBased/>
  <w15:docId w15:val="{4BF8D1E6-110D-434A-857E-1C6BB618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0F"/>
    <w:pPr>
      <w:autoSpaceDE w:val="0"/>
      <w:autoSpaceDN w:val="0"/>
      <w:adjustRightInd w:val="0"/>
      <w:spacing w:after="0" w:line="240" w:lineRule="auto"/>
      <w:jc w:val="both"/>
    </w:pPr>
    <w:rPr>
      <w:rFonts w:ascii="Trebuchet MS" w:hAnsi="Trebuchet MS" w:cs="MyriadPro-Cond"/>
      <w:color w:val="00000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B680F"/>
    <w:pPr>
      <w:keepNext/>
      <w:keepLines/>
      <w:outlineLvl w:val="0"/>
    </w:pPr>
    <w:rPr>
      <w:rFonts w:eastAsiaTheme="majorEastAsia" w:cstheme="majorBidi"/>
      <w:b/>
      <w:bCs/>
      <w:color w:val="2E74B5" w:themeColor="accent1" w:themeShade="BF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D4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680F"/>
    <w:rPr>
      <w:rFonts w:ascii="Trebuchet MS" w:eastAsiaTheme="majorEastAsia" w:hAnsi="Trebuchet MS" w:cstheme="majorBidi"/>
      <w:b/>
      <w:bCs/>
      <w:color w:val="2E74B5" w:themeColor="accent1" w:themeShade="B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B680F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800C86"/>
    <w:pPr>
      <w:ind w:left="284"/>
      <w:jc w:val="left"/>
    </w:pPr>
    <w:rPr>
      <w:rFonts w:cs="MyriadPro-BoldCond"/>
      <w:color w:val="0085CD"/>
    </w:rPr>
  </w:style>
  <w:style w:type="character" w:customStyle="1" w:styleId="Sous-titreCar">
    <w:name w:val="Sous-titre Car"/>
    <w:basedOn w:val="Policepardfaut"/>
    <w:link w:val="Sous-titre"/>
    <w:uiPriority w:val="11"/>
    <w:rsid w:val="00800C86"/>
    <w:rPr>
      <w:rFonts w:ascii="Trebuchet MS" w:hAnsi="Trebuchet MS" w:cs="MyriadPro-BoldCond"/>
      <w:color w:val="0085CD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B755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7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7B7557"/>
    <w:pPr>
      <w:autoSpaceDE w:val="0"/>
      <w:autoSpaceDN w:val="0"/>
      <w:adjustRightInd w:val="0"/>
      <w:spacing w:after="0" w:line="240" w:lineRule="auto"/>
    </w:pPr>
    <w:rPr>
      <w:rFonts w:ascii="Calibri" w:eastAsia="Batang" w:hAnsi="Calibri" w:cs="Calibri"/>
      <w:color w:val="000000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D4C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ansinterligne">
    <w:name w:val="No Spacing"/>
    <w:basedOn w:val="Normal"/>
    <w:uiPriority w:val="1"/>
    <w:qFormat/>
    <w:rsid w:val="00082C5B"/>
    <w:pPr>
      <w:jc w:val="center"/>
    </w:pPr>
    <w:rPr>
      <w:b/>
      <w:color w:val="A5A5A5" w:themeColor="accent3"/>
      <w:sz w:val="32"/>
      <w:szCs w:val="32"/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customStyle="1" w:styleId="western">
    <w:name w:val="western"/>
    <w:basedOn w:val="Normal"/>
    <w:rsid w:val="00A175C6"/>
    <w:pPr>
      <w:autoSpaceDE/>
      <w:autoSpaceDN/>
      <w:adjustRightInd/>
      <w:spacing w:before="100" w:beforeAutospacing="1" w:after="119"/>
    </w:pPr>
    <w:rPr>
      <w:rFonts w:eastAsia="Times New Roman" w:cs="Times New Roman"/>
      <w:color w:val="auto"/>
      <w:sz w:val="22"/>
      <w:szCs w:val="22"/>
      <w:lang w:eastAsia="fr-FR"/>
    </w:rPr>
  </w:style>
  <w:style w:type="paragraph" w:styleId="NormalWeb">
    <w:name w:val="Normal (Web)"/>
    <w:basedOn w:val="Normal"/>
    <w:uiPriority w:val="99"/>
    <w:unhideWhenUsed/>
    <w:rsid w:val="00543988"/>
    <w:pPr>
      <w:autoSpaceDE/>
      <w:autoSpaceDN/>
      <w:adjustRightInd/>
      <w:spacing w:before="100" w:beforeAutospacing="1" w:after="142" w:line="276" w:lineRule="auto"/>
      <w:jc w:val="left"/>
    </w:pPr>
    <w:rPr>
      <w:rFonts w:ascii="Times New Roman" w:eastAsia="Times New Roman" w:hAnsi="Times New Roman" w:cs="Times New Roman"/>
      <w:color w:val="auto"/>
      <w:lang w:eastAsia="fr-FR"/>
    </w:rPr>
  </w:style>
  <w:style w:type="table" w:styleId="TableauListe3-Accentuation1">
    <w:name w:val="List Table 3 Accent 1"/>
    <w:basedOn w:val="TableauNormal"/>
    <w:uiPriority w:val="48"/>
    <w:rsid w:val="00DC794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Corpsdetexte3">
    <w:name w:val="Body Text 3"/>
    <w:basedOn w:val="Normal"/>
    <w:link w:val="Corpsdetexte3Car"/>
    <w:rsid w:val="00F34E44"/>
    <w:pPr>
      <w:spacing w:before="240"/>
    </w:pPr>
    <w:rPr>
      <w:rFonts w:eastAsia="Times New Roman" w:cs="Times New Roman"/>
      <w:color w:val="auto"/>
      <w:sz w:val="22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F34E44"/>
    <w:rPr>
      <w:rFonts w:ascii="Trebuchet MS" w:eastAsia="Times New Roman" w:hAnsi="Trebuchet MS" w:cs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C2E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2EB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2EB4"/>
    <w:rPr>
      <w:rFonts w:ascii="Trebuchet MS" w:hAnsi="Trebuchet MS" w:cs="MyriadPro-Cond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2E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2EB4"/>
    <w:rPr>
      <w:rFonts w:ascii="Trebuchet MS" w:hAnsi="Trebuchet MS" w:cs="MyriadPro-Cond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2EB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EB4"/>
    <w:rPr>
      <w:rFonts w:ascii="Segoe UI" w:hAnsi="Segoe UI" w:cs="Segoe UI"/>
      <w:color w:val="000000"/>
      <w:sz w:val="18"/>
      <w:szCs w:val="18"/>
    </w:rPr>
  </w:style>
  <w:style w:type="table" w:styleId="Grilledutableau">
    <w:name w:val="Table Grid"/>
    <w:basedOn w:val="TableauNormal"/>
    <w:uiPriority w:val="39"/>
    <w:rsid w:val="002D5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469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69C1"/>
    <w:rPr>
      <w:rFonts w:ascii="Trebuchet MS" w:hAnsi="Trebuchet MS" w:cs="MyriadPro-Cond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469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69C1"/>
    <w:rPr>
      <w:rFonts w:ascii="Trebuchet MS" w:hAnsi="Trebuchet MS" w:cs="MyriadPro-Cond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469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59.f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1366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DECLOQUEMENT</dc:creator>
  <cp:keywords/>
  <dc:description/>
  <cp:lastModifiedBy>Celine ROSENDO</cp:lastModifiedBy>
  <cp:revision>2</cp:revision>
  <cp:lastPrinted>2023-09-21T07:23:00Z</cp:lastPrinted>
  <dcterms:created xsi:type="dcterms:W3CDTF">2025-01-20T09:59:00Z</dcterms:created>
  <dcterms:modified xsi:type="dcterms:W3CDTF">2025-01-20T09:59:00Z</dcterms:modified>
</cp:coreProperties>
</file>