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orpsdetexte21"/>
        <w:pBdr>
          <w:top w:val="single" w:sz="4" w:space="1" w:color="000000"/>
          <w:left w:val="single" w:sz="4" w:space="4" w:color="000000"/>
          <w:bottom w:val="single" w:sz="4" w:space="1" w:color="000000"/>
          <w:right w:val="single" w:sz="4" w:space="4" w:color="000000"/>
        </w:pBdr>
        <w:spacing w:lineRule="atLeast" w:line="100" w:before="0" w:after="0"/>
        <w:jc w:val="center"/>
        <w:rPr>
          <w:rFonts w:ascii="Trebuchet MS" w:hAnsi="Trebuchet MS" w:cs="Trebuchet MS"/>
          <w:b/>
          <w:sz w:val="28"/>
          <w:szCs w:val="28"/>
          <w:shd w:fill="C0C0C0" w:val="clear"/>
        </w:rPr>
      </w:pPr>
      <w:r>
        <w:rPr>
          <w:rFonts w:cs="Trebuchet MS" w:ascii="Trebuchet MS" w:hAnsi="Trebuchet MS"/>
          <w:b/>
          <w:sz w:val="28"/>
          <w:szCs w:val="28"/>
          <w:shd w:fill="C0C0C0" w:val="clear"/>
        </w:rPr>
        <w:t xml:space="preserve">DÉLIBÉRATION TYPE </w:t>
      </w:r>
    </w:p>
    <w:p>
      <w:pPr>
        <w:pStyle w:val="Corpsdetexte21"/>
        <w:pBdr>
          <w:top w:val="single" w:sz="4" w:space="1" w:color="000000"/>
          <w:left w:val="single" w:sz="4" w:space="4" w:color="000000"/>
          <w:bottom w:val="single" w:sz="4" w:space="1" w:color="000000"/>
          <w:right w:val="single" w:sz="4" w:space="4" w:color="000000"/>
        </w:pBdr>
        <w:spacing w:lineRule="atLeast" w:line="100" w:before="0" w:after="0"/>
        <w:jc w:val="center"/>
        <w:rPr>
          <w:rFonts w:ascii="Trebuchet MS" w:hAnsi="Trebuchet MS" w:cs="Trebuchet MS"/>
          <w:b/>
          <w:sz w:val="28"/>
          <w:szCs w:val="28"/>
          <w:shd w:fill="C0C0C0" w:val="clear"/>
        </w:rPr>
      </w:pPr>
      <w:r>
        <w:rPr>
          <w:rFonts w:cs="Trebuchet MS" w:ascii="Trebuchet MS" w:hAnsi="Trebuchet MS"/>
          <w:b/>
          <w:sz w:val="28"/>
          <w:szCs w:val="28"/>
          <w:shd w:fill="C0C0C0" w:val="clear"/>
        </w:rPr>
        <w:t>DU CONSEIL MUNICIPAL / COMMUNAUTAIRE</w:t>
      </w:r>
    </w:p>
    <w:p>
      <w:pPr>
        <w:pStyle w:val="Corpsdetexte21"/>
        <w:spacing w:lineRule="atLeast" w:line="100" w:before="0" w:after="0"/>
        <w:rPr>
          <w:rFonts w:ascii="Trebuchet MS" w:hAnsi="Trebuchet MS" w:cs="Trebuchet MS"/>
          <w:sz w:val="24"/>
        </w:rPr>
      </w:pPr>
      <w:r>
        <w:rPr>
          <w:rFonts w:cs="Trebuchet MS" w:ascii="Trebuchet MS" w:hAnsi="Trebuchet MS"/>
          <w:sz w:val="24"/>
        </w:rPr>
      </w:r>
    </w:p>
    <w:p>
      <w:pPr>
        <w:pStyle w:val="Normal"/>
        <w:spacing w:lineRule="auto" w:line="276"/>
        <w:jc w:val="center"/>
        <w:rPr>
          <w:rFonts w:ascii="Trebuchet MS" w:hAnsi="Trebuchet MS" w:cs="Trebuchet MS"/>
          <w:i/>
          <w:i/>
          <w:szCs w:val="20"/>
        </w:rPr>
      </w:pPr>
      <w:r>
        <w:rPr>
          <w:rFonts w:cs="Trebuchet MS" w:ascii="Trebuchet MS" w:hAnsi="Trebuchet MS"/>
          <w:i/>
          <w:szCs w:val="20"/>
        </w:rPr>
        <w:t>A transmettre au CDG 59 accompagnée de la convention constitutive du groupement de commandes  pour la reliure des actes administratifs et/ou de l'état civil, la restauration de documents anciens et fourniture de papier permanent pour les collectivités et établissements publics du Nord.</w:t>
      </w:r>
    </w:p>
    <w:p>
      <w:pPr>
        <w:pStyle w:val="Normal"/>
        <w:pBdr>
          <w:bottom w:val="single" w:sz="4" w:space="1" w:color="000000"/>
        </w:pBdr>
        <w:spacing w:lineRule="auto" w:line="276"/>
        <w:jc w:val="center"/>
        <w:rPr>
          <w:rFonts w:ascii="Trebuchet MS" w:hAnsi="Trebuchet MS" w:cs="Trebuchet MS"/>
          <w:b/>
          <w:i/>
          <w:i/>
          <w:sz w:val="24"/>
          <w:szCs w:val="20"/>
        </w:rPr>
      </w:pPr>
      <w:r>
        <w:rPr>
          <w:rFonts w:cs="Trebuchet MS" w:ascii="Trebuchet MS" w:hAnsi="Trebuchet MS"/>
          <w:b/>
          <w:i/>
          <w:sz w:val="24"/>
          <w:szCs w:val="20"/>
        </w:rPr>
      </w:r>
    </w:p>
    <w:p>
      <w:pPr>
        <w:pStyle w:val="Corpsdetexte21"/>
        <w:spacing w:lineRule="atLeast" w:line="100" w:before="0" w:after="0"/>
        <w:rPr>
          <w:rFonts w:ascii="Trebuchet MS" w:hAnsi="Trebuchet MS" w:cs="Trebuchet MS"/>
          <w:b/>
          <w:i/>
          <w:i/>
          <w:sz w:val="24"/>
          <w:szCs w:val="20"/>
        </w:rPr>
      </w:pPr>
      <w:r>
        <w:rPr>
          <w:rFonts w:cs="Trebuchet MS" w:ascii="Trebuchet MS" w:hAnsi="Trebuchet MS"/>
          <w:b/>
          <w:i/>
          <w:sz w:val="24"/>
          <w:szCs w:val="20"/>
        </w:rPr>
      </w:r>
    </w:p>
    <w:p>
      <w:pPr>
        <w:pStyle w:val="Corpsdetexte21"/>
        <w:spacing w:lineRule="atLeast" w:line="100" w:before="0" w:after="0"/>
        <w:rPr>
          <w:rFonts w:ascii="Trebuchet MS" w:hAnsi="Trebuchet MS" w:cs="Trebuchet MS"/>
          <w:b/>
          <w:i/>
          <w:i/>
          <w:sz w:val="24"/>
          <w:szCs w:val="20"/>
        </w:rPr>
      </w:pPr>
      <w:r>
        <w:rPr>
          <w:rFonts w:cs="Trebuchet MS" w:ascii="Trebuchet MS" w:hAnsi="Trebuchet MS"/>
          <w:b/>
          <w:i/>
          <w:sz w:val="24"/>
          <w:szCs w:val="20"/>
        </w:rPr>
      </w:r>
    </w:p>
    <w:p>
      <w:pPr>
        <w:pStyle w:val="BodyText"/>
        <w:rPr/>
      </w:pPr>
      <w:r>
        <w:rPr>
          <w:rFonts w:cs="Trebuchet MS" w:ascii="Trebuchet MS" w:hAnsi="Trebuchet MS"/>
          <w:b w:val="false"/>
          <w:sz w:val="24"/>
          <w:u w:val="single"/>
        </w:rPr>
        <w:t>Objet </w:t>
      </w:r>
      <w:r>
        <w:rPr>
          <w:rFonts w:cs="Trebuchet MS" w:ascii="Trebuchet MS" w:hAnsi="Trebuchet MS"/>
          <w:b w:val="false"/>
          <w:sz w:val="24"/>
        </w:rPr>
        <w:t xml:space="preserve">: </w:t>
      </w:r>
      <w:r>
        <w:rPr>
          <w:rFonts w:cs="Trebuchet MS" w:ascii="Trebuchet MS" w:hAnsi="Trebuchet MS"/>
          <w:sz w:val="24"/>
        </w:rPr>
        <w:t>Adhésion au groupement de commandes relatif à la restauration et à la reliure des actes administratifs et/ou d'état civil</w:t>
      </w:r>
    </w:p>
    <w:p>
      <w:pPr>
        <w:pStyle w:val="BodyText"/>
        <w:rPr>
          <w:rFonts w:ascii="Trebuchet MS" w:hAnsi="Trebuchet MS" w:cs="Trebuchet MS"/>
          <w:sz w:val="24"/>
        </w:rPr>
      </w:pPr>
      <w:r>
        <w:rPr>
          <w:rFonts w:cs="Trebuchet MS" w:ascii="Trebuchet MS" w:hAnsi="Trebuchet MS"/>
          <w:sz w:val="24"/>
        </w:rPr>
      </w:r>
    </w:p>
    <w:p>
      <w:pPr>
        <w:pStyle w:val="Corpsdetexte21"/>
        <w:rPr/>
      </w:pPr>
      <w:r>
        <w:rPr>
          <w:rFonts w:cs="Trebuchet MS" w:ascii="Trebuchet MS" w:hAnsi="Trebuchet MS"/>
          <w:b/>
          <w:bCs/>
          <w:sz w:val="24"/>
        </w:rPr>
        <w:t>Vu</w:t>
      </w:r>
      <w:r>
        <w:rPr>
          <w:rFonts w:cs="Trebuchet MS" w:ascii="Trebuchet MS" w:hAnsi="Trebuchet MS"/>
          <w:sz w:val="24"/>
        </w:rPr>
        <w:t xml:space="preserve"> le Code Général des Collectivités Territoriales,</w:t>
      </w:r>
    </w:p>
    <w:p>
      <w:pPr>
        <w:pStyle w:val="Corpsdetexte21"/>
        <w:rPr/>
      </w:pPr>
      <w:r>
        <w:rPr>
          <w:rFonts w:cs="Trebuchet MS" w:ascii="Trebuchet MS" w:hAnsi="Trebuchet MS"/>
          <w:b/>
          <w:bCs/>
          <w:sz w:val="24"/>
        </w:rPr>
        <w:t>Vu</w:t>
      </w:r>
      <w:r>
        <w:rPr>
          <w:rFonts w:cs="Trebuchet MS" w:ascii="Trebuchet MS" w:hAnsi="Trebuchet MS"/>
          <w:sz w:val="24"/>
        </w:rPr>
        <w:t xml:space="preserve"> le code des Marchés Publics</w:t>
      </w:r>
    </w:p>
    <w:p>
      <w:pPr>
        <w:pStyle w:val="Normal"/>
        <w:rPr/>
      </w:pPr>
      <w:r>
        <w:rPr>
          <w:rFonts w:cs="Trebuchet MS" w:ascii="Trebuchet MS" w:hAnsi="Trebuchet MS"/>
          <w:b/>
          <w:bCs/>
          <w:sz w:val="24"/>
        </w:rPr>
        <w:t>Vu</w:t>
      </w:r>
      <w:r>
        <w:rPr>
          <w:rFonts w:cs="Trebuchet MS" w:ascii="Trebuchet MS" w:hAnsi="Trebuchet MS"/>
          <w:sz w:val="24"/>
        </w:rPr>
        <w:t xml:space="preserve"> la convention constitutive du groupement de commandes pour la restauration et la reliure des actes administratifs et/ou de l'état civil,</w:t>
      </w:r>
    </w:p>
    <w:p>
      <w:pPr>
        <w:pStyle w:val="BodyText"/>
        <w:rPr>
          <w:rFonts w:ascii="Trebuchet MS" w:hAnsi="Trebuchet MS" w:cs="Trebuchet MS"/>
          <w:sz w:val="24"/>
        </w:rPr>
      </w:pPr>
      <w:r>
        <w:rPr>
          <w:rFonts w:cs="Trebuchet MS" w:ascii="Trebuchet MS" w:hAnsi="Trebuchet MS"/>
          <w:sz w:val="24"/>
        </w:rPr>
      </w:r>
    </w:p>
    <w:p>
      <w:pPr>
        <w:pStyle w:val="Normal"/>
        <w:rPr>
          <w:rFonts w:ascii="Trebuchet MS" w:hAnsi="Trebuchet MS" w:cs="Trebuchet MS"/>
          <w:sz w:val="24"/>
        </w:rPr>
      </w:pPr>
      <w:r>
        <w:rPr>
          <w:rFonts w:cs="Trebuchet MS" w:ascii="Trebuchet MS" w:hAnsi="Trebuchet MS"/>
          <w:sz w:val="24"/>
        </w:rPr>
        <w:t>Le Maire / Président / M…, expose au Conseil Municipal / Communautaire / Syndical :</w:t>
      </w:r>
    </w:p>
    <w:p>
      <w:pPr>
        <w:pStyle w:val="Normal"/>
        <w:rPr>
          <w:rFonts w:ascii="Trebuchet MS" w:hAnsi="Trebuchet MS" w:cs="Trebuchet MS"/>
          <w:b/>
          <w:bCs/>
          <w:sz w:val="24"/>
        </w:rPr>
      </w:pPr>
      <w:r>
        <w:rPr>
          <w:rFonts w:cs="Trebuchet MS" w:ascii="Trebuchet MS" w:hAnsi="Trebuchet MS"/>
          <w:b/>
          <w:bCs/>
          <w:sz w:val="24"/>
        </w:rPr>
      </w:r>
    </w:p>
    <w:p>
      <w:pPr>
        <w:pStyle w:val="Normal"/>
        <w:rPr>
          <w:rFonts w:ascii="Trebuchet MS" w:hAnsi="Trebuchet MS" w:cs="Trebuchet MS"/>
          <w:sz w:val="24"/>
        </w:rPr>
      </w:pPr>
      <w:r>
        <w:rPr>
          <w:rFonts w:cs="Trebuchet MS" w:ascii="Trebuchet MS" w:hAnsi="Trebuchet MS"/>
          <w:sz w:val="24"/>
        </w:rPr>
        <w:t xml:space="preserve">En vertu des dispositions du Code général des collectivités territoriales (art. R.2121-9), les collectivités et établissements publics ont l’obligation de faire relier les délibérations du Conseil municipal (ou communautaire) et les arrêtés et décisions du maire (ou du président). Ces reliures doivent répondre à certaines exigences techniques, précisées dans la circulaire interministérielle du 14 décembre 2010. Cette même obligation de reliure s’applique aux registres d’état civil, en vertu de l’Instruction générale relative à l’état civil du 11 mai 1999.  </w:t>
      </w:r>
    </w:p>
    <w:p>
      <w:pPr>
        <w:pStyle w:val="Normal"/>
        <w:rPr>
          <w:rFonts w:ascii="Trebuchet MS" w:hAnsi="Trebuchet MS" w:cs="Trebuchet MS"/>
          <w:sz w:val="24"/>
        </w:rPr>
      </w:pPr>
      <w:r>
        <w:rPr>
          <w:rFonts w:cs="Trebuchet MS" w:ascii="Trebuchet MS" w:hAnsi="Trebuchet MS"/>
          <w:sz w:val="24"/>
        </w:rPr>
        <w:t>Par ailleurs, certains documents d’archives essentiels tant d’un point de vue historique que juridique pour la collectivité peuvent nécessiter des opérations de restauration appropriées. Les frais de conservation des archives constituent en outre une dépense obligatoire des communes et des EPCI (CGCT, art. L.2321-2 et L.5211-36).</w:t>
      </w:r>
    </w:p>
    <w:p>
      <w:pPr>
        <w:pStyle w:val="Normal"/>
        <w:rPr>
          <w:rFonts w:ascii="Trebuchet MS" w:hAnsi="Trebuchet MS" w:cs="Trebuchet MS"/>
          <w:sz w:val="24"/>
        </w:rPr>
      </w:pPr>
      <w:r>
        <w:rPr>
          <w:rFonts w:cs="Trebuchet MS" w:ascii="Trebuchet MS" w:hAnsi="Trebuchet MS"/>
          <w:sz w:val="24"/>
        </w:rPr>
      </w:r>
    </w:p>
    <w:p>
      <w:pPr>
        <w:pStyle w:val="Normal"/>
        <w:rPr>
          <w:rFonts w:ascii="Trebuchet MS" w:hAnsi="Trebuchet MS" w:cs="Trebuchet MS"/>
          <w:sz w:val="24"/>
        </w:rPr>
      </w:pPr>
      <w:r>
        <w:rPr>
          <w:rFonts w:cs="Trebuchet MS" w:ascii="Trebuchet MS" w:hAnsi="Trebuchet MS"/>
          <w:sz w:val="24"/>
        </w:rPr>
        <w:t>Pour éviter à chaque collectivité de mener sa propre consultation et en vue de garantir des prestations conformes à la réglementation à des coûts adaptés, le Centre De Gestion de la fonction publique territoriale du Nord a décidé de constituer un groupement de commandes dont les objets sont :</w:t>
      </w:r>
    </w:p>
    <w:p>
      <w:pPr>
        <w:pStyle w:val="BodyText"/>
        <w:tabs>
          <w:tab w:val="clear" w:pos="708"/>
          <w:tab w:val="left" w:pos="1418" w:leader="none"/>
        </w:tabs>
        <w:ind w:hanging="283" w:start="709" w:end="0"/>
        <w:rPr>
          <w:rFonts w:ascii="Trebuchet MS" w:hAnsi="Trebuchet MS" w:cs="Trebuchet MS"/>
          <w:b w:val="false"/>
          <w:sz w:val="24"/>
        </w:rPr>
      </w:pPr>
      <w:r>
        <w:rPr>
          <w:rFonts w:cs="Trebuchet MS" w:ascii="Trebuchet MS" w:hAnsi="Trebuchet MS"/>
          <w:b w:val="false"/>
          <w:sz w:val="24"/>
        </w:rPr>
        <w:t>- la réalisation de reliures administratives cousues de registres ;</w:t>
      </w:r>
    </w:p>
    <w:p>
      <w:pPr>
        <w:pStyle w:val="BodyText"/>
        <w:tabs>
          <w:tab w:val="clear" w:pos="708"/>
          <w:tab w:val="left" w:pos="1418" w:leader="none"/>
        </w:tabs>
        <w:ind w:hanging="283" w:start="709" w:end="0"/>
        <w:rPr>
          <w:rFonts w:ascii="Trebuchet MS" w:hAnsi="Trebuchet MS" w:cs="Trebuchet MS"/>
          <w:b w:val="false"/>
          <w:sz w:val="24"/>
        </w:rPr>
      </w:pPr>
      <w:r>
        <w:rPr>
          <w:rFonts w:cs="Trebuchet MS" w:ascii="Trebuchet MS" w:hAnsi="Trebuchet MS"/>
          <w:b w:val="false"/>
          <w:sz w:val="24"/>
        </w:rPr>
        <w:t>- la restauration de documents d'archives et/ou de registres anciens ;</w:t>
      </w:r>
    </w:p>
    <w:p>
      <w:pPr>
        <w:pStyle w:val="BodyText"/>
        <w:tabs>
          <w:tab w:val="clear" w:pos="708"/>
          <w:tab w:val="left" w:pos="1418" w:leader="none"/>
        </w:tabs>
        <w:ind w:hanging="283" w:start="709" w:end="0"/>
        <w:rPr>
          <w:rFonts w:ascii="Trebuchet MS" w:hAnsi="Trebuchet MS" w:cs="Trebuchet MS"/>
          <w:b w:val="false"/>
          <w:bCs w:val="false"/>
          <w:sz w:val="24"/>
        </w:rPr>
      </w:pPr>
      <w:r>
        <w:rPr>
          <w:rFonts w:cs="Trebuchet MS" w:ascii="Trebuchet MS" w:hAnsi="Trebuchet MS"/>
          <w:b w:val="false"/>
          <w:bCs w:val="false"/>
          <w:sz w:val="24"/>
        </w:rPr>
        <w:t>- la fourniture de papier permanent ;</w:t>
      </w:r>
    </w:p>
    <w:p>
      <w:pPr>
        <w:pStyle w:val="BodyText"/>
        <w:tabs>
          <w:tab w:val="clear" w:pos="708"/>
          <w:tab w:val="left" w:pos="1418" w:leader="none"/>
        </w:tabs>
        <w:ind w:hanging="283" w:start="709" w:end="0"/>
        <w:rPr>
          <w:rFonts w:ascii="Trebuchet MS" w:hAnsi="Trebuchet MS" w:cs="Trebuchet MS"/>
          <w:b w:val="false"/>
          <w:bCs w:val="false"/>
          <w:sz w:val="24"/>
        </w:rPr>
      </w:pPr>
      <w:r>
        <w:rPr>
          <w:rFonts w:cs="Trebuchet MS" w:ascii="Trebuchet MS" w:hAnsi="Trebuchet MS"/>
          <w:b w:val="false"/>
          <w:bCs w:val="false"/>
          <w:sz w:val="24"/>
        </w:rPr>
        <w:t>- éventuellement, la réalisation d’opérations de numérisation de documents d’archives.</w:t>
      </w:r>
    </w:p>
    <w:p>
      <w:pPr>
        <w:pStyle w:val="Footer"/>
        <w:tabs>
          <w:tab w:val="clear" w:pos="4536"/>
          <w:tab w:val="clear" w:pos="9072"/>
        </w:tabs>
        <w:rPr>
          <w:rFonts w:ascii="Trebuchet MS" w:hAnsi="Trebuchet MS" w:cs="Trebuchet MS"/>
          <w:b/>
          <w:bCs/>
          <w:sz w:val="24"/>
        </w:rPr>
      </w:pPr>
      <w:r>
        <w:rPr>
          <w:rFonts w:cs="Trebuchet MS" w:ascii="Trebuchet MS" w:hAnsi="Trebuchet MS"/>
          <w:b/>
          <w:bCs/>
          <w:sz w:val="24"/>
        </w:rPr>
      </w:r>
    </w:p>
    <w:p>
      <w:pPr>
        <w:pStyle w:val="Normal"/>
        <w:rPr>
          <w:rFonts w:ascii="Trebuchet MS" w:hAnsi="Trebuchet MS" w:cs="Trebuchet MS"/>
          <w:sz w:val="24"/>
        </w:rPr>
      </w:pPr>
      <w:r>
        <w:rPr>
          <w:rFonts w:cs="Trebuchet MS" w:ascii="Trebuchet MS" w:hAnsi="Trebuchet MS"/>
          <w:sz w:val="24"/>
        </w:rPr>
        <w:t>La convention constitutive de ce groupement de commandes désigne le Centre De Gestion de la fonction publique territoriale du Nord comme coordonnateur. Ce dernier est notamment chargé de procéder à l’organisation de la procédure de choix du titulaire des marchés de prestations de services.</w:t>
      </w:r>
    </w:p>
    <w:p>
      <w:pPr>
        <w:pStyle w:val="Normal"/>
        <w:rPr>
          <w:rFonts w:ascii="Trebuchet MS" w:hAnsi="Trebuchet MS" w:cs="Trebuchet MS"/>
          <w:sz w:val="24"/>
        </w:rPr>
      </w:pPr>
      <w:r>
        <w:rPr>
          <w:rFonts w:cs="Trebuchet MS" w:ascii="Trebuchet MS" w:hAnsi="Trebuchet MS"/>
          <w:sz w:val="24"/>
        </w:rPr>
      </w:r>
    </w:p>
    <w:p>
      <w:pPr>
        <w:pStyle w:val="BodyText"/>
        <w:tabs>
          <w:tab w:val="clear" w:pos="708"/>
          <w:tab w:val="left" w:pos="1418" w:leader="none"/>
        </w:tabs>
        <w:ind w:hanging="283" w:start="709" w:end="0"/>
        <w:rPr>
          <w:rFonts w:ascii="Trebuchet MS" w:hAnsi="Trebuchet MS" w:cs="Trebuchet MS"/>
          <w:b w:val="false"/>
          <w:bCs w:val="false"/>
          <w:sz w:val="24"/>
        </w:rPr>
      </w:pPr>
      <w:r>
        <w:rPr>
          <w:rFonts w:cs="Trebuchet MS" w:ascii="Trebuchet MS" w:hAnsi="Trebuchet MS"/>
          <w:b w:val="false"/>
          <w:bCs w:val="false"/>
          <w:sz w:val="24"/>
        </w:rPr>
      </w:r>
    </w:p>
    <w:p>
      <w:pPr>
        <w:pStyle w:val="Footer"/>
        <w:tabs>
          <w:tab w:val="clear" w:pos="4536"/>
          <w:tab w:val="clear" w:pos="9072"/>
        </w:tabs>
        <w:rPr>
          <w:rFonts w:ascii="Trebuchet MS" w:hAnsi="Trebuchet MS" w:cs="Trebuchet MS"/>
          <w:sz w:val="24"/>
        </w:rPr>
      </w:pPr>
      <w:r>
        <w:rPr>
          <w:rFonts w:cs="Trebuchet MS" w:ascii="Trebuchet MS" w:hAnsi="Trebuchet MS"/>
          <w:sz w:val="24"/>
        </w:rPr>
        <w:t xml:space="preserve">Compte tenu de la complexité des cahiers des charges techniques, cette démarche s’inscrit dans une logique de simplification administrative et d’économie financière. </w:t>
      </w:r>
    </w:p>
    <w:p>
      <w:pPr>
        <w:pStyle w:val="Footer"/>
        <w:tabs>
          <w:tab w:val="clear" w:pos="4536"/>
          <w:tab w:val="clear" w:pos="9072"/>
        </w:tabs>
        <w:rPr>
          <w:rFonts w:ascii="Trebuchet MS" w:hAnsi="Trebuchet MS" w:cs="Trebuchet MS"/>
          <w:sz w:val="24"/>
        </w:rPr>
      </w:pPr>
      <w:r>
        <w:rPr>
          <w:rFonts w:cs="Trebuchet MS" w:ascii="Trebuchet MS" w:hAnsi="Trebuchet MS"/>
          <w:sz w:val="24"/>
        </w:rPr>
      </w:r>
    </w:p>
    <w:p>
      <w:pPr>
        <w:pStyle w:val="Normal"/>
        <w:rPr/>
      </w:pPr>
      <w:r>
        <w:rPr>
          <w:rFonts w:cs="Trebuchet MS" w:ascii="Trebuchet MS" w:hAnsi="Trebuchet MS"/>
          <w:sz w:val="24"/>
        </w:rPr>
        <w:t>La convention prévoit que</w:t>
      </w:r>
      <w:r>
        <w:rPr>
          <w:rFonts w:cs="Trebuchet MS" w:ascii="Trebuchet MS" w:hAnsi="Trebuchet MS"/>
          <w:color w:val="000000"/>
          <w:sz w:val="24"/>
        </w:rPr>
        <w:t xml:space="preserve"> les membres du groupement habilitent le coordonnateur à signer, notifier et exécuter le marché au nom de l'ensemble des membres constituant le groupement.</w:t>
      </w:r>
      <w:r>
        <w:rPr>
          <w:rFonts w:cs="Trebuchet MS" w:ascii="Trebuchet MS" w:hAnsi="Trebuchet MS"/>
          <w:sz w:val="24"/>
        </w:rPr>
        <w:t xml:space="preserve"> A ce titre, la commission d’appel d’offres compétente est celle du coordonnateur du groupement de commandes.</w:t>
      </w:r>
    </w:p>
    <w:p>
      <w:pPr>
        <w:pStyle w:val="Normal"/>
        <w:rPr>
          <w:rFonts w:ascii="Trebuchet MS" w:hAnsi="Trebuchet MS" w:cs="Trebuchet MS"/>
          <w:sz w:val="24"/>
        </w:rPr>
      </w:pPr>
      <w:r>
        <w:rPr>
          <w:rFonts w:cs="Trebuchet MS" w:ascii="Trebuchet MS" w:hAnsi="Trebuchet MS"/>
          <w:sz w:val="24"/>
        </w:rPr>
      </w:r>
    </w:p>
    <w:p>
      <w:pPr>
        <w:pStyle w:val="Normal"/>
        <w:rPr>
          <w:rFonts w:ascii="Trebuchet MS" w:hAnsi="Trebuchet MS" w:cs="Trebuchet MS"/>
          <w:sz w:val="24"/>
        </w:rPr>
      </w:pPr>
      <w:r>
        <w:rPr>
          <w:rFonts w:cs="Trebuchet MS" w:ascii="Trebuchet MS" w:hAnsi="Trebuchet MS"/>
          <w:sz w:val="24"/>
        </w:rPr>
        <w:t xml:space="preserve">La convention précise que la mission du Centre De Gestion de la fonction publique territoriale du Nord comme coordonnateur ne donne pas lieu à rémunération. </w:t>
      </w:r>
    </w:p>
    <w:p>
      <w:pPr>
        <w:pStyle w:val="Normal"/>
        <w:rPr>
          <w:rFonts w:ascii="Trebuchet MS" w:hAnsi="Trebuchet MS" w:cs="Trebuchet MS"/>
          <w:sz w:val="24"/>
        </w:rPr>
      </w:pPr>
      <w:r>
        <w:rPr>
          <w:rFonts w:cs="Trebuchet MS" w:ascii="Trebuchet MS" w:hAnsi="Trebuchet MS"/>
          <w:sz w:val="24"/>
        </w:rPr>
      </w:r>
    </w:p>
    <w:p>
      <w:pPr>
        <w:pStyle w:val="BodyText"/>
        <w:spacing w:lineRule="auto" w:line="288"/>
        <w:rPr>
          <w:rFonts w:ascii="Trebuchet MS" w:hAnsi="Trebuchet MS" w:cs="Trebuchet MS"/>
          <w:b w:val="false"/>
          <w:bCs w:val="false"/>
          <w:sz w:val="24"/>
        </w:rPr>
      </w:pPr>
      <w:r>
        <w:rPr>
          <w:rFonts w:cs="Trebuchet MS" w:ascii="Trebuchet MS" w:hAnsi="Trebuchet MS"/>
          <w:b w:val="false"/>
          <w:bCs w:val="false"/>
          <w:sz w:val="24"/>
        </w:rPr>
        <w:t xml:space="preserve">Les prix appliqués, ainsi que les modalités de paiement des prestataires de services par l’ensemble des adhérents du groupement, seront fixés dans les marchés de services. </w:t>
      </w:r>
    </w:p>
    <w:p>
      <w:pPr>
        <w:pStyle w:val="Normal"/>
        <w:rPr>
          <w:rFonts w:ascii="Trebuchet MS" w:hAnsi="Trebuchet MS" w:cs="Trebuchet MS"/>
          <w:b/>
          <w:bCs/>
          <w:sz w:val="24"/>
        </w:rPr>
      </w:pPr>
      <w:r>
        <w:rPr>
          <w:rFonts w:cs="Trebuchet MS" w:ascii="Trebuchet MS" w:hAnsi="Trebuchet MS"/>
          <w:b/>
          <w:bCs/>
          <w:sz w:val="24"/>
        </w:rPr>
      </w:r>
    </w:p>
    <w:p>
      <w:pPr>
        <w:pStyle w:val="Normal"/>
        <w:rPr>
          <w:rFonts w:ascii="Trebuchet MS" w:hAnsi="Trebuchet MS" w:cs="Trebuchet MS"/>
          <w:sz w:val="24"/>
        </w:rPr>
      </w:pPr>
      <w:r>
        <w:rPr>
          <w:rFonts w:cs="Trebuchet MS" w:ascii="Trebuchet MS" w:hAnsi="Trebuchet MS"/>
          <w:sz w:val="24"/>
        </w:rPr>
        <w:t xml:space="preserve">Il appartient donc à chaque membre du groupement d’examiner et d’autoriser son exécutif à signer la convention constitutive de ce groupement de commandes. </w:t>
      </w:r>
    </w:p>
    <w:p>
      <w:pPr>
        <w:pStyle w:val="Normal"/>
        <w:rPr>
          <w:rFonts w:ascii="Trebuchet MS" w:hAnsi="Trebuchet MS" w:cs="Trebuchet MS"/>
          <w:sz w:val="24"/>
        </w:rPr>
      </w:pPr>
      <w:r>
        <w:rPr>
          <w:rFonts w:cs="Trebuchet MS" w:ascii="Trebuchet MS" w:hAnsi="Trebuchet MS"/>
          <w:sz w:val="24"/>
        </w:rPr>
      </w:r>
    </w:p>
    <w:p>
      <w:pPr>
        <w:pStyle w:val="Normal"/>
        <w:rPr>
          <w:rFonts w:ascii="Trebuchet MS" w:hAnsi="Trebuchet MS" w:cs="Trebuchet MS"/>
          <w:sz w:val="24"/>
        </w:rPr>
      </w:pPr>
      <w:r>
        <w:rPr>
          <w:rFonts w:cs="Trebuchet MS" w:ascii="Trebuchet MS" w:hAnsi="Trebuchet MS"/>
          <w:sz w:val="24"/>
        </w:rPr>
        <w:t>Par conséquent, je vous propose de vous prononcer sur les engagements de la Commune / Communauté de Communes / Syndicat contenus dans ce document et de m’autoriser à signer cette convention.</w:t>
      </w:r>
    </w:p>
    <w:p>
      <w:pPr>
        <w:pStyle w:val="Normal"/>
        <w:rPr>
          <w:rFonts w:ascii="Trebuchet MS" w:hAnsi="Trebuchet MS" w:cs="Trebuchet MS"/>
          <w:sz w:val="24"/>
        </w:rPr>
      </w:pPr>
      <w:r>
        <w:rPr>
          <w:rFonts w:cs="Trebuchet MS" w:ascii="Trebuchet MS" w:hAnsi="Trebuchet MS"/>
          <w:sz w:val="24"/>
        </w:rPr>
      </w:r>
    </w:p>
    <w:p>
      <w:pPr>
        <w:pStyle w:val="Normal"/>
        <w:rPr/>
      </w:pPr>
      <w:r>
        <w:rPr>
          <w:rFonts w:cs="Trebuchet MS" w:ascii="Trebuchet MS" w:hAnsi="Trebuchet MS"/>
          <w:bCs/>
          <w:sz w:val="24"/>
        </w:rPr>
        <w:t>Considérant</w:t>
      </w:r>
      <w:r>
        <w:rPr>
          <w:rFonts w:cs="Trebuchet MS" w:ascii="Trebuchet MS" w:hAnsi="Trebuchet MS"/>
          <w:sz w:val="24"/>
        </w:rPr>
        <w:t xml:space="preserve"> l’intérêt de rejoindre ce groupement de commandes en termes de simplification administrative et d’économie financière, et ce à compter du  …  et pour la durée des marchés conclus dans ce cadre,</w:t>
      </w:r>
    </w:p>
    <w:p>
      <w:pPr>
        <w:pStyle w:val="Normal"/>
        <w:rPr>
          <w:rFonts w:ascii="Trebuchet MS" w:hAnsi="Trebuchet MS" w:cs="Trebuchet MS"/>
          <w:sz w:val="24"/>
        </w:rPr>
      </w:pPr>
      <w:r>
        <w:rPr>
          <w:rFonts w:cs="Trebuchet MS" w:ascii="Trebuchet MS" w:hAnsi="Trebuchet MS"/>
          <w:sz w:val="24"/>
        </w:rPr>
      </w:r>
    </w:p>
    <w:p>
      <w:pPr>
        <w:pStyle w:val="BodyText"/>
        <w:rPr>
          <w:rFonts w:ascii="Trebuchet MS" w:hAnsi="Trebuchet MS" w:cs="Trebuchet MS"/>
          <w:b w:val="false"/>
          <w:sz w:val="24"/>
        </w:rPr>
      </w:pPr>
      <w:r>
        <w:rPr>
          <w:rFonts w:cs="Trebuchet MS" w:ascii="Trebuchet MS" w:hAnsi="Trebuchet MS"/>
          <w:b w:val="false"/>
          <w:sz w:val="24"/>
        </w:rPr>
        <w:t>Le Conseil municipal / communautaire, après avoir délibéré :</w:t>
      </w:r>
    </w:p>
    <w:p>
      <w:pPr>
        <w:pStyle w:val="Normal"/>
        <w:rPr>
          <w:rFonts w:ascii="Trebuchet MS" w:hAnsi="Trebuchet MS" w:cs="Trebuchet MS"/>
          <w:b/>
          <w:sz w:val="24"/>
        </w:rPr>
      </w:pPr>
      <w:r>
        <w:rPr>
          <w:rFonts w:cs="Trebuchet MS" w:ascii="Trebuchet MS" w:hAnsi="Trebuchet MS"/>
          <w:b/>
          <w:sz w:val="24"/>
        </w:rPr>
      </w:r>
    </w:p>
    <w:p>
      <w:pPr>
        <w:pStyle w:val="Normal"/>
        <w:numPr>
          <w:ilvl w:val="1"/>
          <w:numId w:val="2"/>
        </w:numPr>
        <w:tabs>
          <w:tab w:val="clear" w:pos="708"/>
          <w:tab w:val="left" w:pos="0" w:leader="none"/>
        </w:tabs>
        <w:rPr>
          <w:rFonts w:ascii="Trebuchet MS" w:hAnsi="Trebuchet MS" w:cs="Trebuchet MS"/>
          <w:sz w:val="24"/>
        </w:rPr>
      </w:pPr>
      <w:r>
        <w:rPr>
          <w:rFonts w:cs="Trebuchet MS" w:ascii="Trebuchet MS" w:hAnsi="Trebuchet MS"/>
          <w:sz w:val="24"/>
        </w:rPr>
        <w:t>Décide d’adhérer au groupement de commandes relatif à la réalisation de reliures administratives cousues de registres, à la fourniture de papier permanent et à la restauration de documents d'archives anciens et/ou de registres anciens,</w:t>
      </w:r>
    </w:p>
    <w:p>
      <w:pPr>
        <w:pStyle w:val="Normal"/>
        <w:rPr>
          <w:rFonts w:ascii="Trebuchet MS" w:hAnsi="Trebuchet MS" w:cs="Trebuchet MS"/>
          <w:sz w:val="24"/>
        </w:rPr>
      </w:pPr>
      <w:r>
        <w:rPr>
          <w:rFonts w:cs="Trebuchet MS" w:ascii="Trebuchet MS" w:hAnsi="Trebuchet MS"/>
          <w:sz w:val="24"/>
        </w:rPr>
      </w:r>
    </w:p>
    <w:p>
      <w:pPr>
        <w:pStyle w:val="Normal"/>
        <w:numPr>
          <w:ilvl w:val="1"/>
          <w:numId w:val="2"/>
        </w:numPr>
        <w:tabs>
          <w:tab w:val="clear" w:pos="708"/>
          <w:tab w:val="left" w:pos="0" w:leader="none"/>
        </w:tabs>
        <w:rPr>
          <w:rFonts w:ascii="Trebuchet MS" w:hAnsi="Trebuchet MS" w:cs="Trebuchet MS"/>
          <w:sz w:val="24"/>
        </w:rPr>
      </w:pPr>
      <w:r>
        <w:rPr>
          <w:rFonts w:cs="Trebuchet MS" w:ascii="Trebuchet MS" w:hAnsi="Trebuchet MS"/>
          <w:sz w:val="24"/>
        </w:rPr>
        <w:t>Approuve la convention constitutive du groupement de commandes désignant le Centre De Gestion de la fonction publique territoriale du Nord coordonnateur du groupement et l’habilitant à signer, notifier et exécuter les marchés selon les modalités fixées dans cette convention,</w:t>
      </w:r>
    </w:p>
    <w:p>
      <w:pPr>
        <w:pStyle w:val="Normal"/>
        <w:rPr>
          <w:rFonts w:ascii="Trebuchet MS" w:hAnsi="Trebuchet MS" w:cs="Trebuchet MS"/>
          <w:sz w:val="24"/>
        </w:rPr>
      </w:pPr>
      <w:r>
        <w:rPr>
          <w:rFonts w:cs="Trebuchet MS" w:ascii="Trebuchet MS" w:hAnsi="Trebuchet MS"/>
          <w:sz w:val="24"/>
        </w:rPr>
      </w:r>
    </w:p>
    <w:p>
      <w:pPr>
        <w:pStyle w:val="Normal"/>
        <w:numPr>
          <w:ilvl w:val="1"/>
          <w:numId w:val="2"/>
        </w:numPr>
        <w:tabs>
          <w:tab w:val="clear" w:pos="708"/>
          <w:tab w:val="left" w:pos="0" w:leader="none"/>
        </w:tabs>
        <w:rPr>
          <w:rFonts w:ascii="Trebuchet MS" w:hAnsi="Trebuchet MS" w:cs="Trebuchet MS"/>
          <w:sz w:val="24"/>
        </w:rPr>
      </w:pPr>
      <w:r>
        <w:rPr>
          <w:rFonts w:cs="Trebuchet MS" w:ascii="Trebuchet MS" w:hAnsi="Trebuchet MS"/>
          <w:sz w:val="24"/>
        </w:rPr>
        <w:t>Autorise le Maire / Président à signer la convention constitutive du groupement de commandes ainsi qu’à prendre toutes les mesures nécessaires à l’exécution de la présente délibération.</w:t>
      </w:r>
    </w:p>
    <w:sectPr>
      <w:footerReference w:type="default" r:id="rId2"/>
      <w:type w:val="nextPage"/>
      <w:pgSz w:w="11906" w:h="16838"/>
      <w:pgMar w:left="1247" w:right="1247" w:gutter="0" w:header="0" w:top="1247" w:footer="709" w:bottom="124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Liberation Sans">
    <w:altName w:val="Arial"/>
    <w:charset w:val="00" w:characterSet="windows-1252"/>
    <w:family w:val="swiss"/>
    <w:pitch w:val="variable"/>
  </w:font>
  <w:font w:name="Tahoma">
    <w:charset w:val="00" w:characterSet="windows-1252"/>
    <w:family w:val="swiss"/>
    <w:pitch w:val="variable"/>
  </w:font>
  <w:font w:name="Trebuchet MS">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hanging="0" w:start="0" w:end="360"/>
      <w:rPr>
        <w:lang w:val="fr-FR" w:eastAsia="fr-FR"/>
      </w:rPr>
    </w:pPr>
    <w:r>
      <w:rPr>
        <w:lang w:val="fr-FR" w:eastAsia="fr-FR"/>
      </w:rPr>
    </w:r>
    <w:r>
      <mc:AlternateContent>
        <mc:Choice Requires="wps">
          <w:drawing>
            <wp:anchor behindDoc="0" distT="0" distB="0" distL="0" distR="0" simplePos="0" locked="0" layoutInCell="0" allowOverlap="1" relativeHeight="3">
              <wp:simplePos x="0" y="0"/>
              <wp:positionH relativeFrom="page">
                <wp:posOffset>6697345</wp:posOffset>
              </wp:positionH>
              <wp:positionV relativeFrom="paragraph">
                <wp:posOffset>635</wp:posOffset>
              </wp:positionV>
              <wp:extent cx="67945" cy="174625"/>
              <wp:effectExtent l="0" t="0" r="0" b="0"/>
              <wp:wrapSquare wrapText="largest"/>
              <wp:docPr id="1" name="Cadre1"/>
              <a:graphic xmlns:a="http://schemas.openxmlformats.org/drawingml/2006/main">
                <a:graphicData uri="http://schemas.microsoft.com/office/word/2010/wordprocessingShape">
                  <wps:wsp>
                    <wps:cNvSpPr txBox="1"/>
                    <wps:spPr>
                      <a:xfrm>
                        <a:off x="0" y="0"/>
                        <a:ext cx="67945" cy="174625"/>
                      </a:xfrm>
                      <a:prstGeom prst="rect"/>
                      <a:solidFill>
                        <a:srgbClr val="FFFFFF"/>
                      </a:solidFill>
                    </wps:spPr>
                    <wps:txbx>
                      <w:txbxContent>
                        <w:p>
                          <w:pPr>
                            <w:pStyle w:val="Footer"/>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0</w:t>
                          </w:r>
                          <w:r>
                            <w:rPr>
                              <w:rStyle w:val="PageNumber"/>
                              <w:rFonts w:cs="Arial"/>
                            </w:rPr>
                            <w:fldChar w:fldCharType="end"/>
                          </w:r>
                        </w:p>
                      </w:txbxContent>
                    </wps:txbx>
                    <wps:bodyPr anchor="t" lIns="1905" tIns="1905" rIns="1905" bIns="1905">
                      <a:noAutofit/>
                    </wps:bodyPr>
                  </wps:wsp>
                </a:graphicData>
              </a:graphic>
            </wp:anchor>
          </w:drawing>
        </mc:Choice>
        <mc:Fallback>
          <w:pict>
            <v:rect fillcolor="#FFFFFF" style="position:absolute;rotation:-0;width:5.35pt;height:13.75pt;mso-wrap-distance-left:0pt;mso-wrap-distance-right:0pt;mso-wrap-distance-top:0pt;mso-wrap-distance-bottom:0pt;margin-top:0.05pt;mso-position-vertical-relative:text;margin-left:527.35pt;mso-position-horizontal-relative:page">
              <v:textbox inset="0.00208333333333333in,0.00208333333333333in,0.00208333333333333in,0.00208333333333333in">
                <w:txbxContent>
                  <w:p>
                    <w:pPr>
                      <w:pStyle w:val="Footer"/>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0</w:t>
                    </w:r>
                    <w:r>
                      <w:rPr>
                        <w:rStyle w:val="PageNumber"/>
                        <w:rFonts w:cs="Arial"/>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start"/>
      <w:pPr>
        <w:tabs>
          <w:tab w:val="num" w:pos="0"/>
        </w:tabs>
        <w:ind w:start="0" w:hanging="0"/>
      </w:pPr>
      <w:rPr>
        <w:rFonts w:cs="Times New Roman"/>
      </w:rPr>
    </w:lvl>
    <w:lvl w:ilvl="1">
      <w:start w:val="1"/>
      <w:pStyle w:val="Heading2"/>
      <w:numFmt w:val="none"/>
      <w:suff w:val="nothing"/>
      <w:lvlText w:val="%2"/>
      <w:lvlJc w:val="start"/>
      <w:pPr>
        <w:tabs>
          <w:tab w:val="num" w:pos="0"/>
        </w:tabs>
        <w:ind w:start="0" w:hanging="0"/>
      </w:pPr>
      <w:rPr>
        <w:rFonts w:cs="Times New Roman"/>
      </w:rPr>
    </w:lvl>
    <w:lvl w:ilvl="2">
      <w:start w:val="1"/>
      <w:pStyle w:val="Heading3"/>
      <w:numFmt w:val="none"/>
      <w:suff w:val="nothing"/>
      <w:lvlText w:val="%3"/>
      <w:lvlJc w:val="start"/>
      <w:pPr>
        <w:tabs>
          <w:tab w:val="num" w:pos="0"/>
        </w:tabs>
        <w:ind w:start="0" w:hanging="0"/>
      </w:pPr>
      <w:rPr>
        <w:rFonts w:cs="Times New Roman"/>
      </w:r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2">
    <w:lvl w:ilvl="0">
      <w:start w:val="1"/>
      <w:numFmt w:val="bullet"/>
      <w:suff w:val="nothing"/>
      <w:lvlText w:val=""/>
      <w:lvlJc w:val="start"/>
      <w:pPr>
        <w:tabs>
          <w:tab w:val="num" w:pos="0"/>
        </w:tabs>
        <w:ind w:start="0" w:hanging="0"/>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fr-FR"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tLeast" w:line="280"/>
      <w:jc w:val="both"/>
    </w:pPr>
    <w:rPr>
      <w:rFonts w:ascii="Arial" w:hAnsi="Arial" w:eastAsia="Times New Roman" w:cs="Arial"/>
      <w:color w:val="auto"/>
      <w:sz w:val="20"/>
      <w:szCs w:val="24"/>
      <w:lang w:val="fr-FR" w:eastAsia="zh-CN" w:bidi="ar-SA"/>
    </w:rPr>
  </w:style>
  <w:style w:type="paragraph" w:styleId="Heading1">
    <w:name w:val="Heading 1"/>
    <w:basedOn w:val="Heading"/>
    <w:next w:val="BodyText"/>
    <w:qFormat/>
    <w:pPr>
      <w:numPr>
        <w:ilvl w:val="0"/>
        <w:numId w:val="1"/>
      </w:numPr>
      <w:tabs>
        <w:tab w:val="clear" w:pos="708"/>
        <w:tab w:val="left" w:pos="0" w:leader="none"/>
      </w:tabs>
      <w:outlineLvl w:val="0"/>
    </w:pPr>
    <w:rPr>
      <w:b/>
      <w:bCs/>
      <w:sz w:val="36"/>
      <w:szCs w:val="36"/>
    </w:rPr>
  </w:style>
  <w:style w:type="paragraph" w:styleId="Heading2">
    <w:name w:val="Heading 2"/>
    <w:basedOn w:val="Heading"/>
    <w:next w:val="BodyText"/>
    <w:qFormat/>
    <w:pPr>
      <w:numPr>
        <w:ilvl w:val="1"/>
        <w:numId w:val="1"/>
      </w:numPr>
      <w:tabs>
        <w:tab w:val="clear" w:pos="708"/>
        <w:tab w:val="left" w:pos="0" w:leader="none"/>
      </w:tabs>
      <w:spacing w:before="200" w:after="120"/>
      <w:outlineLvl w:val="1"/>
    </w:pPr>
    <w:rPr>
      <w:b/>
      <w:bCs/>
      <w:sz w:val="32"/>
      <w:szCs w:val="32"/>
    </w:rPr>
  </w:style>
  <w:style w:type="paragraph" w:styleId="Heading3">
    <w:name w:val="Heading 3"/>
    <w:basedOn w:val="Heading"/>
    <w:next w:val="BodyText"/>
    <w:qFormat/>
    <w:pPr>
      <w:numPr>
        <w:ilvl w:val="2"/>
        <w:numId w:val="1"/>
      </w:numPr>
      <w:tabs>
        <w:tab w:val="clear" w:pos="708"/>
        <w:tab w:val="left" w:pos="0" w:leader="none"/>
      </w:tabs>
      <w:spacing w:before="140" w:after="120"/>
      <w:outlineLvl w:val="2"/>
    </w:pPr>
    <w:rPr>
      <w:b/>
      <w:bCs/>
    </w:rPr>
  </w:style>
  <w:style w:type="character" w:styleId="WW8Num1z0">
    <w:name w:val="WW8Num1z0"/>
    <w:qFormat/>
    <w:rPr>
      <w:rFonts w:cs="Times New Roman"/>
    </w:rPr>
  </w:style>
  <w:style w:type="character" w:styleId="WW8Num2z0">
    <w:name w:val="WW8Num2z0"/>
    <w:qFormat/>
    <w:rPr>
      <w:rFonts w:ascii="Symbol" w:hAnsi="Symbol" w:cs="Symbol"/>
    </w:rPr>
  </w:style>
  <w:style w:type="character" w:styleId="Policepardfaut">
    <w:name w:val="Police par défaut"/>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Policepardfaut3">
    <w:name w:val="Police par défaut3"/>
    <w:qFormat/>
    <w:rPr/>
  </w:style>
  <w:style w:type="character" w:styleId="Policepardfaut2">
    <w:name w:val="Police par défaut2"/>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Policepardfaut1">
    <w:name w:val="Police par défaut1"/>
    <w:qFormat/>
    <w:rPr/>
  </w:style>
  <w:style w:type="character" w:styleId="PageNumber">
    <w:name w:val="Page Number"/>
    <w:rPr>
      <w:rFonts w:cs="Times New Roman"/>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rPr>
      <w:b/>
      <w:bCs/>
    </w:rPr>
  </w:style>
  <w:style w:type="paragraph" w:styleId="List">
    <w:name w:val="List"/>
    <w:basedOn w:val="BodyText"/>
    <w:pPr/>
    <w:rPr>
      <w:rFonts w:cs="Mangal;Liberation Mono"/>
    </w:rPr>
  </w:style>
  <w:style w:type="paragraph" w:styleId="Caption">
    <w:name w:val="Caption"/>
    <w:basedOn w:val="Normal"/>
    <w:qFormat/>
    <w:pPr>
      <w:suppressLineNumbers/>
      <w:spacing w:before="120" w:after="120"/>
    </w:pPr>
    <w:rPr>
      <w:rFonts w:cs="Mangal;Liberation Mono"/>
      <w:i/>
      <w:iCs/>
      <w:sz w:val="24"/>
      <w:szCs w:val="24"/>
    </w:rPr>
  </w:style>
  <w:style w:type="paragraph" w:styleId="Index">
    <w:name w:val="Index"/>
    <w:basedOn w:val="Normal"/>
    <w:qFormat/>
    <w:pPr>
      <w:suppressLineNumbers/>
    </w:pPr>
    <w:rPr>
      <w:rFonts w:cs="Mangal;Liberation Mono"/>
    </w:rPr>
  </w:style>
  <w:style w:type="paragraph" w:styleId="Heading">
    <w:name w:val="Heading"/>
    <w:basedOn w:val="Normal"/>
    <w:next w:val="BodyText"/>
    <w:qFormat/>
    <w:pPr>
      <w:keepNext w:val="true"/>
      <w:spacing w:before="240" w:after="120"/>
    </w:pPr>
    <w:rPr>
      <w:rFonts w:ascii="Liberation Sans" w:hAnsi="Liberation Sans" w:eastAsia="Microsoft YaHei" w:cs="Mangal;Liberation Mono"/>
      <w:sz w:val="28"/>
      <w:szCs w:val="28"/>
    </w:rPr>
  </w:style>
  <w:style w:type="paragraph" w:styleId="Titre1">
    <w:name w:val="Titre1"/>
    <w:basedOn w:val="Heading"/>
    <w:next w:val="BodyText"/>
    <w:qFormat/>
    <w:pPr>
      <w:jc w:val="center"/>
    </w:pPr>
    <w:rPr>
      <w:b/>
      <w:bCs/>
      <w:sz w:val="56"/>
      <w:szCs w:val="56"/>
    </w:rPr>
  </w:style>
  <w:style w:type="paragraph" w:styleId="Titre2">
    <w:name w:val="Titre2"/>
    <w:basedOn w:val="Titre1"/>
    <w:next w:val="BodyText"/>
    <w:qFormat/>
    <w:pPr>
      <w:jc w:val="center"/>
    </w:pPr>
    <w:rPr>
      <w:b/>
      <w:bCs/>
      <w:sz w:val="56"/>
      <w:szCs w:val="56"/>
    </w:rPr>
  </w:style>
  <w:style w:type="paragraph" w:styleId="Caption1">
    <w:name w:val="Caption1"/>
    <w:basedOn w:val="Normal"/>
    <w:qFormat/>
    <w:pPr>
      <w:suppressLineNumbers/>
      <w:spacing w:before="120" w:after="120"/>
    </w:pPr>
    <w:rPr>
      <w:rFonts w:cs="Mangal;Liberation Mono"/>
      <w:i/>
      <w:iCs/>
      <w:sz w:val="24"/>
    </w:rPr>
  </w:style>
  <w:style w:type="paragraph" w:styleId="En-tteetpieddepage">
    <w:name w:val="En-tête et pied de page"/>
    <w:basedOn w:val="Normal"/>
    <w:qFormat/>
    <w:pPr>
      <w:suppressLineNumbers/>
      <w:tabs>
        <w:tab w:val="clear" w:pos="708"/>
        <w:tab w:val="center" w:pos="4819" w:leader="none"/>
        <w:tab w:val="right" w:pos="9638" w:leader="none"/>
      </w:tabs>
    </w:pPr>
    <w:rPr/>
  </w:style>
  <w:style w:type="paragraph" w:styleId="Footer">
    <w:name w:val="Footer"/>
    <w:basedOn w:val="Normal"/>
    <w:pPr>
      <w:tabs>
        <w:tab w:val="clear" w:pos="708"/>
        <w:tab w:val="center" w:pos="4536" w:leader="none"/>
        <w:tab w:val="right" w:pos="9072" w:leader="none"/>
      </w:tabs>
    </w:pPr>
    <w:rPr/>
  </w:style>
  <w:style w:type="paragraph" w:styleId="Corpsdetexte21">
    <w:name w:val="Corps de texte 21"/>
    <w:basedOn w:val="Normal"/>
    <w:qFormat/>
    <w:pPr>
      <w:spacing w:lineRule="auto" w:line="480" w:before="0" w:after="120"/>
    </w:pPr>
    <w:rPr/>
  </w:style>
  <w:style w:type="paragraph" w:styleId="Framecontents">
    <w:name w:val="Frame contents"/>
    <w:basedOn w:val="Normal"/>
    <w:qFormat/>
    <w:pPr/>
    <w:rPr/>
  </w:style>
  <w:style w:type="paragraph" w:styleId="Quotations">
    <w:name w:val="Quotations"/>
    <w:basedOn w:val="Normal"/>
    <w:qFormat/>
    <w:pPr>
      <w:spacing w:before="0" w:after="283"/>
      <w:ind w:hanging="0" w:start="567" w:end="567"/>
    </w:pPr>
    <w:rPr/>
  </w:style>
  <w:style w:type="paragraph" w:styleId="Subtitle">
    <w:name w:val="Subtitle"/>
    <w:basedOn w:val="Heading"/>
    <w:next w:val="BodyText"/>
    <w:qFormat/>
    <w:pPr>
      <w:spacing w:before="60" w:after="120"/>
      <w:jc w:val="center"/>
    </w:pPr>
    <w:rPr>
      <w:sz w:val="36"/>
      <w:szCs w:val="36"/>
    </w:rPr>
  </w:style>
  <w:style w:type="paragraph" w:styleId="Textedebulles">
    <w:name w:val="Texte de bulles"/>
    <w:basedOn w:val="Normal"/>
    <w:qFormat/>
    <w:pPr/>
    <w:rPr>
      <w:rFonts w:ascii="Tahoma" w:hAnsi="Tahoma" w:cs="Tahoma"/>
      <w:sz w:val="16"/>
      <w:szCs w:val="16"/>
    </w:rPr>
  </w:style>
  <w:style w:type="paragraph" w:styleId="Contenudecadre">
    <w:name w:val="Contenu de cadre"/>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9</TotalTime>
  <Application>LibreOffice/7.6.5.2$Windows_X86_64 LibreOffice_project/38d5f62f85355c192ef5f1dd47c5c0c0c6d6598b</Application>
  <AppVersion>15.0000</AppVersion>
  <Pages>2</Pages>
  <Words>690</Words>
  <Characters>3936</Characters>
  <CharactersWithSpaces>4605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2024-03-25T15:07:00Z</dcterms:created>
  <dc:creator>thomas-c</dc:creator>
  <dc:description/>
  <cp:keywords/>
  <dc:language>fr-FR</dc:language>
  <cp:lastModifiedBy/>
  <cp:lastPrinted>2014-06-10T12:37:00Z</cp:lastPrinted>
  <dcterms:modified xsi:type="dcterms:W3CDTF">2024-03-25T15:16:10Z</dcterms:modified>
  <cp:revision>5</cp:revision>
  <dc:subject/>
  <dc:title>ANNEXE 1</dc:title>
</cp:coreProperties>
</file>