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7572" w14:textId="1AC87C25" w:rsidR="00577A8E" w:rsidRPr="00EB54CD" w:rsidRDefault="00577A8E" w:rsidP="00B6172C"/>
    <w:p w14:paraId="379AC87D" w14:textId="53C67E42" w:rsidR="003C22A5" w:rsidRPr="003C22A5" w:rsidRDefault="003C22A5" w:rsidP="003C22A5">
      <w:pPr>
        <w:spacing w:after="0" w:line="240" w:lineRule="auto"/>
        <w:rPr>
          <w:rFonts w:cs="Arial"/>
          <w:b/>
          <w:color w:val="4472C4" w:themeColor="accent5"/>
          <w:sz w:val="40"/>
          <w:szCs w:val="40"/>
        </w:rPr>
      </w:pPr>
      <w:r w:rsidRPr="003C22A5">
        <w:rPr>
          <w:rFonts w:cs="Arial"/>
          <w:b/>
          <w:color w:val="4472C4" w:themeColor="accent5"/>
          <w:sz w:val="40"/>
          <w:szCs w:val="40"/>
        </w:rPr>
        <w:t xml:space="preserve">Projet de rapport à usage des collectivités </w:t>
      </w:r>
      <w:r w:rsidR="00BF4E45">
        <w:rPr>
          <w:rFonts w:cs="Arial"/>
          <w:b/>
          <w:color w:val="4472C4" w:themeColor="accent5"/>
          <w:sz w:val="40"/>
          <w:szCs w:val="40"/>
        </w:rPr>
        <w:t>territoriales et de leurs établissements publics</w:t>
      </w:r>
    </w:p>
    <w:p w14:paraId="405C7ED2" w14:textId="77777777" w:rsidR="003C22A5" w:rsidRPr="00535CD8" w:rsidRDefault="003C22A5" w:rsidP="003C22A5">
      <w:pPr>
        <w:spacing w:after="0" w:line="240" w:lineRule="auto"/>
        <w:rPr>
          <w:rFonts w:ascii="Trebuchet MS" w:hAnsi="Trebuchet MS"/>
        </w:rPr>
      </w:pPr>
    </w:p>
    <w:p w14:paraId="5FB4888F" w14:textId="77777777" w:rsidR="002B0CFB" w:rsidRPr="00C07DFF" w:rsidRDefault="002B0CFB" w:rsidP="002B0CFB">
      <w:pPr>
        <w:spacing w:before="0" w:after="0" w:line="240" w:lineRule="auto"/>
        <w:jc w:val="left"/>
        <w:rPr>
          <w:rFonts w:ascii="Trebuchet MS" w:hAnsi="Trebuchet MS"/>
        </w:rPr>
      </w:pPr>
      <w:r w:rsidRPr="00C07DFF">
        <w:rPr>
          <w:rFonts w:ascii="Trebuchet MS" w:hAnsi="Trebuchet MS"/>
        </w:rPr>
        <w:t>La protection sociale complémentaire recouvre deux champs :</w:t>
      </w:r>
    </w:p>
    <w:p w14:paraId="2BE7B57C" w14:textId="77777777" w:rsidR="002B0CFB" w:rsidRPr="00C07DFF" w:rsidRDefault="002B0CFB" w:rsidP="003E756C">
      <w:pPr>
        <w:numPr>
          <w:ilvl w:val="0"/>
          <w:numId w:val="27"/>
        </w:numPr>
        <w:spacing w:before="0" w:after="0" w:line="240" w:lineRule="auto"/>
        <w:jc w:val="left"/>
        <w:rPr>
          <w:rFonts w:ascii="Trebuchet MS" w:hAnsi="Trebuchet MS"/>
        </w:rPr>
      </w:pPr>
      <w:r w:rsidRPr="00C07DFF">
        <w:rPr>
          <w:rFonts w:ascii="Trebuchet MS" w:hAnsi="Trebuchet MS"/>
        </w:rPr>
        <w:t>Les risques d’atteinte à l’intégrité physique dénommé</w:t>
      </w:r>
      <w:r>
        <w:rPr>
          <w:rFonts w:ascii="Trebuchet MS" w:hAnsi="Trebuchet MS"/>
        </w:rPr>
        <w:t>s</w:t>
      </w:r>
      <w:r w:rsidRPr="00C07DFF">
        <w:rPr>
          <w:rFonts w:ascii="Trebuchet MS" w:hAnsi="Trebuchet MS"/>
        </w:rPr>
        <w:t xml:space="preserve"> « risque santé » ;</w:t>
      </w:r>
    </w:p>
    <w:p w14:paraId="7637E886" w14:textId="7DD21EE1" w:rsidR="002B0CFB" w:rsidRPr="003E756C" w:rsidRDefault="002B0CFB" w:rsidP="003E756C">
      <w:pPr>
        <w:pStyle w:val="Paragraphedeliste"/>
        <w:numPr>
          <w:ilvl w:val="0"/>
          <w:numId w:val="27"/>
        </w:numPr>
        <w:rPr>
          <w:rFonts w:ascii="Trebuchet MS" w:hAnsi="Trebuchet MS"/>
        </w:rPr>
      </w:pPr>
      <w:r w:rsidRPr="003E756C">
        <w:rPr>
          <w:rFonts w:ascii="Trebuchet MS" w:hAnsi="Trebuchet MS"/>
        </w:rPr>
        <w:t>Les risques liés à l’incapacité de travail dénommés encore « risque prévoyance » ou plus connu encore par « </w:t>
      </w:r>
      <w:r w:rsidR="00F943A6">
        <w:rPr>
          <w:rFonts w:ascii="Trebuchet MS" w:hAnsi="Trebuchet MS"/>
        </w:rPr>
        <w:t xml:space="preserve">garantie </w:t>
      </w:r>
      <w:r w:rsidRPr="003E756C">
        <w:rPr>
          <w:rFonts w:ascii="Trebuchet MS" w:hAnsi="Trebuchet MS"/>
        </w:rPr>
        <w:t xml:space="preserve">maintien de salaire ». </w:t>
      </w:r>
    </w:p>
    <w:p w14:paraId="377A08FE" w14:textId="06C8414B" w:rsidR="003C22A5" w:rsidRPr="00535CD8" w:rsidRDefault="002B0CFB" w:rsidP="002B0CFB">
      <w:pPr>
        <w:spacing w:after="0" w:line="240" w:lineRule="auto"/>
        <w:rPr>
          <w:rFonts w:ascii="Trebuchet MS" w:hAnsi="Trebuchet MS"/>
        </w:rPr>
      </w:pPr>
      <w:r>
        <w:rPr>
          <w:rFonts w:ascii="Trebuchet MS" w:hAnsi="Trebuchet MS"/>
        </w:rPr>
        <w:t>Dans le champ de la prévoyance, l</w:t>
      </w:r>
      <w:r w:rsidR="003C22A5" w:rsidRPr="00535CD8">
        <w:rPr>
          <w:rFonts w:ascii="Trebuchet MS" w:hAnsi="Trebuchet MS"/>
        </w:rPr>
        <w:t xml:space="preserve">es contrats permettent </w:t>
      </w:r>
      <w:r>
        <w:rPr>
          <w:rFonts w:ascii="Trebuchet MS" w:hAnsi="Trebuchet MS"/>
        </w:rPr>
        <w:t xml:space="preserve">aux agents </w:t>
      </w:r>
      <w:r w:rsidR="003C22A5" w:rsidRPr="00535CD8">
        <w:rPr>
          <w:rFonts w:ascii="Trebuchet MS" w:hAnsi="Trebuchet MS"/>
        </w:rPr>
        <w:t xml:space="preserve">de couvrir le risque de perte de la moitié de leur traitement de base voire de tout ou partie du régime indemnitaire en fonction des dispositions </w:t>
      </w:r>
      <w:r>
        <w:rPr>
          <w:rFonts w:ascii="Trebuchet MS" w:hAnsi="Trebuchet MS"/>
        </w:rPr>
        <w:t>prises en la matière par les</w:t>
      </w:r>
      <w:r w:rsidR="003C22A5" w:rsidRPr="00535CD8">
        <w:rPr>
          <w:rFonts w:ascii="Trebuchet MS" w:hAnsi="Trebuchet MS"/>
        </w:rPr>
        <w:t xml:space="preserve"> collectivité</w:t>
      </w:r>
      <w:r>
        <w:rPr>
          <w:rFonts w:ascii="Trebuchet MS" w:hAnsi="Trebuchet MS"/>
        </w:rPr>
        <w:t>s</w:t>
      </w:r>
      <w:r w:rsidR="003C22A5" w:rsidRPr="00535CD8">
        <w:rPr>
          <w:rFonts w:ascii="Trebuchet MS" w:hAnsi="Trebuchet MS"/>
        </w:rPr>
        <w:t xml:space="preserve">. Le contrat prévoyance peut également prévoir </w:t>
      </w:r>
      <w:r>
        <w:rPr>
          <w:rFonts w:ascii="Trebuchet MS" w:hAnsi="Trebuchet MS"/>
        </w:rPr>
        <w:t>d</w:t>
      </w:r>
      <w:r w:rsidR="003C22A5" w:rsidRPr="00535CD8">
        <w:rPr>
          <w:rFonts w:ascii="Trebuchet MS" w:hAnsi="Trebuchet MS"/>
        </w:rPr>
        <w:t>es compléments de salaire en cas d’invalidité partielle ou totale</w:t>
      </w:r>
      <w:r>
        <w:rPr>
          <w:rFonts w:ascii="Trebuchet MS" w:hAnsi="Trebuchet MS"/>
        </w:rPr>
        <w:t>,</w:t>
      </w:r>
      <w:r w:rsidR="003C22A5" w:rsidRPr="00535CD8">
        <w:rPr>
          <w:rFonts w:ascii="Trebuchet MS" w:hAnsi="Trebuchet MS"/>
        </w:rPr>
        <w:t xml:space="preserve"> et/ou un complément retraite du fait de la décote de pension liée à l’invalidité</w:t>
      </w:r>
      <w:r>
        <w:rPr>
          <w:rFonts w:ascii="Trebuchet MS" w:hAnsi="Trebuchet MS"/>
        </w:rPr>
        <w:t>,</w:t>
      </w:r>
      <w:r w:rsidR="003C22A5" w:rsidRPr="00535CD8">
        <w:rPr>
          <w:rFonts w:ascii="Trebuchet MS" w:hAnsi="Trebuchet MS"/>
        </w:rPr>
        <w:t xml:space="preserve"> et/ou un capital décès.</w:t>
      </w:r>
    </w:p>
    <w:p w14:paraId="5FB7D5C8" w14:textId="77777777" w:rsidR="003C22A5" w:rsidRPr="00535CD8" w:rsidRDefault="003C22A5" w:rsidP="003C22A5">
      <w:pPr>
        <w:spacing w:after="0" w:line="240" w:lineRule="auto"/>
        <w:rPr>
          <w:rFonts w:ascii="Trebuchet MS" w:hAnsi="Trebuchet MS"/>
        </w:rPr>
      </w:pPr>
    </w:p>
    <w:p w14:paraId="1A0A3F9F" w14:textId="791150A9" w:rsidR="002B0CFB" w:rsidRDefault="003C22A5" w:rsidP="003E756C">
      <w:pPr>
        <w:spacing w:before="0" w:after="0" w:line="240" w:lineRule="auto"/>
        <w:rPr>
          <w:rFonts w:ascii="Trebuchet MS" w:hAnsi="Trebuchet MS"/>
        </w:rPr>
      </w:pPr>
      <w:r w:rsidRPr="00535CD8">
        <w:rPr>
          <w:rFonts w:ascii="Trebuchet MS" w:hAnsi="Trebuchet MS"/>
        </w:rPr>
        <w:t xml:space="preserve">Le législateur a prévu en 2007 la possibilité pour les </w:t>
      </w:r>
      <w:r w:rsidR="002B0CFB">
        <w:rPr>
          <w:rFonts w:ascii="Trebuchet MS" w:hAnsi="Trebuchet MS"/>
        </w:rPr>
        <w:t xml:space="preserve">collectivités territoriales </w:t>
      </w:r>
      <w:r w:rsidRPr="00535CD8">
        <w:rPr>
          <w:rFonts w:ascii="Trebuchet MS" w:hAnsi="Trebuchet MS"/>
        </w:rPr>
        <w:t>de participer financièrement aux contrats de leurs agent</w:t>
      </w:r>
      <w:r w:rsidR="00F943A6">
        <w:rPr>
          <w:rFonts w:ascii="Trebuchet MS" w:hAnsi="Trebuchet MS"/>
        </w:rPr>
        <w:t>.e</w:t>
      </w:r>
      <w:r w:rsidRPr="00535CD8">
        <w:rPr>
          <w:rFonts w:ascii="Trebuchet MS" w:hAnsi="Trebuchet MS"/>
        </w:rPr>
        <w:t xml:space="preserve">s. </w:t>
      </w:r>
      <w:r w:rsidR="002B0CFB">
        <w:rPr>
          <w:rFonts w:ascii="Trebuchet MS" w:hAnsi="Trebuchet MS"/>
        </w:rPr>
        <w:t>Ce</w:t>
      </w:r>
      <w:r w:rsidR="002B0CFB" w:rsidRPr="00535CD8">
        <w:rPr>
          <w:rFonts w:ascii="Trebuchet MS" w:hAnsi="Trebuchet MS"/>
        </w:rPr>
        <w:t xml:space="preserve"> </w:t>
      </w:r>
      <w:r w:rsidRPr="00535CD8">
        <w:rPr>
          <w:rFonts w:ascii="Trebuchet MS" w:hAnsi="Trebuchet MS"/>
        </w:rPr>
        <w:t xml:space="preserve">dispositif </w:t>
      </w:r>
      <w:r w:rsidR="002B0CFB">
        <w:rPr>
          <w:rFonts w:ascii="Trebuchet MS" w:hAnsi="Trebuchet MS"/>
        </w:rPr>
        <w:t xml:space="preserve">est </w:t>
      </w:r>
      <w:r w:rsidRPr="00535CD8">
        <w:rPr>
          <w:rFonts w:ascii="Trebuchet MS" w:hAnsi="Trebuchet MS"/>
        </w:rPr>
        <w:t xml:space="preserve">précisé dans </w:t>
      </w:r>
      <w:r w:rsidR="002B0CFB">
        <w:rPr>
          <w:rFonts w:ascii="Trebuchet MS" w:hAnsi="Trebuchet MS"/>
        </w:rPr>
        <w:t>le</w:t>
      </w:r>
      <w:r w:rsidR="002B0CFB" w:rsidRPr="00535CD8">
        <w:rPr>
          <w:rFonts w:ascii="Trebuchet MS" w:hAnsi="Trebuchet MS"/>
        </w:rPr>
        <w:t xml:space="preserve"> </w:t>
      </w:r>
      <w:r w:rsidRPr="00535CD8">
        <w:rPr>
          <w:rFonts w:ascii="Trebuchet MS" w:hAnsi="Trebuchet MS"/>
        </w:rPr>
        <w:t>décret  n°2011-1474</w:t>
      </w:r>
      <w:r w:rsidR="00FA5353">
        <w:rPr>
          <w:rFonts w:ascii="Trebuchet MS" w:hAnsi="Trebuchet MS"/>
        </w:rPr>
        <w:t> :</w:t>
      </w:r>
    </w:p>
    <w:p w14:paraId="2D937436" w14:textId="7114926A" w:rsidR="00FA5353" w:rsidRDefault="00FA5353" w:rsidP="003E756C">
      <w:pPr>
        <w:pStyle w:val="Paragraphedeliste"/>
        <w:numPr>
          <w:ilvl w:val="0"/>
          <w:numId w:val="26"/>
        </w:numPr>
        <w:rPr>
          <w:rFonts w:ascii="Trebuchet MS" w:hAnsi="Trebuchet MS"/>
        </w:rPr>
      </w:pPr>
      <w:r>
        <w:rPr>
          <w:rFonts w:ascii="Trebuchet MS" w:hAnsi="Trebuchet MS"/>
        </w:rPr>
        <w:t>C</w:t>
      </w:r>
      <w:r w:rsidRPr="00C72C39">
        <w:rPr>
          <w:rFonts w:ascii="Trebuchet MS" w:hAnsi="Trebuchet MS"/>
        </w:rPr>
        <w:t>ette aide peut être versée aux agent·es ayant souscrit un contrat individuel dit labellisé. Dans cette hypothèse, l’aide sera versée à l’ensemble des personnes</w:t>
      </w:r>
      <w:r w:rsidR="00F943A6">
        <w:rPr>
          <w:rFonts w:ascii="Trebuchet MS" w:hAnsi="Trebuchet MS"/>
        </w:rPr>
        <w:t xml:space="preserve"> disposant d’un tel contrat</w:t>
      </w:r>
      <w:r>
        <w:rPr>
          <w:rFonts w:ascii="Trebuchet MS" w:hAnsi="Trebuchet MS"/>
        </w:rPr>
        <w:t> ;</w:t>
      </w:r>
    </w:p>
    <w:p w14:paraId="4F370736" w14:textId="28504B66" w:rsidR="00D91326" w:rsidRPr="003E756C" w:rsidRDefault="00FA5353" w:rsidP="003E756C">
      <w:pPr>
        <w:pStyle w:val="Paragraphedeliste"/>
        <w:numPr>
          <w:ilvl w:val="0"/>
          <w:numId w:val="26"/>
        </w:numPr>
        <w:rPr>
          <w:rFonts w:ascii="Trebuchet MS" w:hAnsi="Trebuchet MS"/>
        </w:rPr>
      </w:pPr>
      <w:r w:rsidRPr="003E756C">
        <w:rPr>
          <w:rFonts w:ascii="Trebuchet MS" w:hAnsi="Trebuchet MS"/>
        </w:rPr>
        <w:t xml:space="preserve">Les collectivités territoriales et leurs établissements publics ont la faculté de conclure une convention de participation à l'issue d'une procédure de mise en concurrence. Dans ce cas, l’aide ne peut être versée qu'au bénéfice des agent·es ayant souscrit </w:t>
      </w:r>
      <w:r w:rsidR="00F943A6">
        <w:rPr>
          <w:rFonts w:ascii="Trebuchet MS" w:hAnsi="Trebuchet MS"/>
        </w:rPr>
        <w:t>au</w:t>
      </w:r>
      <w:r w:rsidRPr="003E756C">
        <w:rPr>
          <w:rFonts w:ascii="Trebuchet MS" w:hAnsi="Trebuchet MS"/>
        </w:rPr>
        <w:t xml:space="preserve"> contrat faisant l'objet de la convention de participation.</w:t>
      </w:r>
    </w:p>
    <w:p w14:paraId="2A914DDF" w14:textId="3A2E0A30" w:rsidR="003C22A5" w:rsidRPr="00535CD8" w:rsidRDefault="003C22A5" w:rsidP="003C22A5">
      <w:pPr>
        <w:spacing w:after="0" w:line="240" w:lineRule="auto"/>
        <w:rPr>
          <w:rFonts w:ascii="Trebuchet MS" w:hAnsi="Trebuchet MS"/>
        </w:rPr>
      </w:pPr>
      <w:r w:rsidRPr="00535CD8">
        <w:rPr>
          <w:rFonts w:ascii="Trebuchet MS" w:hAnsi="Trebuchet MS"/>
        </w:rPr>
        <w:t xml:space="preserve">Cette procédure peut être conduite par la collectivité elle-même ou être confiée au centre de gestion agissant de manière groupée pour toutes les collectivités intéressées. L’avantage est dans ce cas de s’affranchir d’une procédure </w:t>
      </w:r>
      <w:r w:rsidR="00FA5353" w:rsidRPr="00535CD8">
        <w:rPr>
          <w:rFonts w:ascii="Trebuchet MS" w:hAnsi="Trebuchet MS"/>
        </w:rPr>
        <w:t>complexe</w:t>
      </w:r>
      <w:r w:rsidRPr="00535CD8">
        <w:rPr>
          <w:rFonts w:ascii="Trebuchet MS" w:hAnsi="Trebuchet MS"/>
        </w:rPr>
        <w:t>.</w:t>
      </w:r>
      <w:r w:rsidR="002B0CFB">
        <w:rPr>
          <w:rFonts w:ascii="Trebuchet MS" w:hAnsi="Trebuchet MS"/>
        </w:rPr>
        <w:t xml:space="preserve"> Cette solution permet </w:t>
      </w:r>
      <w:r w:rsidR="00F943A6">
        <w:rPr>
          <w:rFonts w:ascii="Trebuchet MS" w:hAnsi="Trebuchet MS"/>
        </w:rPr>
        <w:t xml:space="preserve">également </w:t>
      </w:r>
      <w:r w:rsidR="002B0CFB">
        <w:rPr>
          <w:rFonts w:ascii="Trebuchet MS" w:hAnsi="Trebuchet MS"/>
        </w:rPr>
        <w:t>de mutualiser le risque, et mettre en</w:t>
      </w:r>
      <w:r w:rsidR="00FA5353">
        <w:rPr>
          <w:rFonts w:ascii="Trebuchet MS" w:hAnsi="Trebuchet MS"/>
        </w:rPr>
        <w:t xml:space="preserve"> oeuvre</w:t>
      </w:r>
      <w:r w:rsidR="002B0CFB">
        <w:rPr>
          <w:rFonts w:ascii="Trebuchet MS" w:hAnsi="Trebuchet MS"/>
        </w:rPr>
        <w:t xml:space="preserve"> les principes de solidarité.</w:t>
      </w:r>
    </w:p>
    <w:p w14:paraId="2365334A" w14:textId="77777777" w:rsidR="003C22A5" w:rsidRPr="00535CD8" w:rsidRDefault="003C22A5" w:rsidP="003C22A5">
      <w:pPr>
        <w:spacing w:after="0" w:line="240" w:lineRule="auto"/>
        <w:rPr>
          <w:rFonts w:ascii="Trebuchet MS" w:hAnsi="Trebuchet MS"/>
        </w:rPr>
      </w:pPr>
    </w:p>
    <w:p w14:paraId="7EBD3377" w14:textId="1C2E7DA0" w:rsidR="006D28F7" w:rsidRDefault="003C22A5" w:rsidP="003C22A5">
      <w:pPr>
        <w:spacing w:after="0" w:line="240" w:lineRule="auto"/>
        <w:rPr>
          <w:rFonts w:ascii="Trebuchet MS" w:hAnsi="Trebuchet MS"/>
        </w:rPr>
      </w:pPr>
      <w:r w:rsidRPr="00535CD8">
        <w:rPr>
          <w:rFonts w:ascii="Trebuchet MS" w:hAnsi="Trebuchet MS"/>
        </w:rPr>
        <w:t>La nouvelle ordonnance n°2021-175 du 17 février 2021</w:t>
      </w:r>
      <w:r w:rsidR="00F943A6">
        <w:rPr>
          <w:rFonts w:ascii="Trebuchet MS" w:hAnsi="Trebuchet MS"/>
        </w:rPr>
        <w:t>,</w:t>
      </w:r>
      <w:r w:rsidRPr="00535CD8">
        <w:rPr>
          <w:rFonts w:ascii="Trebuchet MS" w:hAnsi="Trebuchet MS"/>
        </w:rPr>
        <w:t xml:space="preserve"> qui attend ses décrets d’application</w:t>
      </w:r>
      <w:r w:rsidR="00F943A6">
        <w:rPr>
          <w:rFonts w:ascii="Trebuchet MS" w:hAnsi="Trebuchet MS"/>
        </w:rPr>
        <w:t>,</w:t>
      </w:r>
      <w:r w:rsidRPr="00535CD8">
        <w:rPr>
          <w:rFonts w:ascii="Trebuchet MS" w:hAnsi="Trebuchet MS"/>
        </w:rPr>
        <w:t xml:space="preserve"> prévoit l’obligation pour les employeurs de participer financièrement aux contrats prévoyance de leurs agents en 2025 (elle ne pourra être inférieure à 20% d’un montant de référence</w:t>
      </w:r>
      <w:r w:rsidR="00F943A6">
        <w:rPr>
          <w:rFonts w:ascii="Trebuchet MS" w:hAnsi="Trebuchet MS"/>
        </w:rPr>
        <w:t xml:space="preserve"> qui sera fixé par décret</w:t>
      </w:r>
      <w:r w:rsidRPr="00535CD8">
        <w:rPr>
          <w:rFonts w:ascii="Trebuchet MS" w:hAnsi="Trebuchet MS"/>
        </w:rPr>
        <w:t>) et aux contrats santé en 2026 (qui ne pourra être inférieure à 50 % d’un montant de référence</w:t>
      </w:r>
      <w:r w:rsidR="00F943A6">
        <w:rPr>
          <w:rFonts w:ascii="Trebuchet MS" w:hAnsi="Trebuchet MS"/>
        </w:rPr>
        <w:t xml:space="preserve"> qui sera fixé par décret</w:t>
      </w:r>
      <w:r w:rsidRPr="00535CD8">
        <w:rPr>
          <w:rFonts w:ascii="Trebuchet MS" w:hAnsi="Trebuchet MS"/>
        </w:rPr>
        <w:t xml:space="preserve">). </w:t>
      </w:r>
      <w:r w:rsidR="002B0CFB">
        <w:rPr>
          <w:rFonts w:ascii="Trebuchet MS" w:hAnsi="Trebuchet MS"/>
        </w:rPr>
        <w:t>Les montants de référence ne sont pas encore connus.</w:t>
      </w:r>
      <w:r w:rsidRPr="00535CD8">
        <w:rPr>
          <w:rFonts w:ascii="Trebuchet MS" w:hAnsi="Trebuchet MS"/>
        </w:rPr>
        <w:t xml:space="preserve"> Ces dispositions visent à permettre aux agent</w:t>
      </w:r>
      <w:r w:rsidR="00F943A6">
        <w:rPr>
          <w:rFonts w:ascii="Trebuchet MS" w:hAnsi="Trebuchet MS"/>
        </w:rPr>
        <w:t>.e</w:t>
      </w:r>
      <w:r w:rsidRPr="00535CD8">
        <w:rPr>
          <w:rFonts w:ascii="Trebuchet MS" w:hAnsi="Trebuchet MS"/>
        </w:rPr>
        <w:t>s de bénéficier d’une couverture assurantielle les garantissant contre la précarité</w:t>
      </w:r>
      <w:r w:rsidR="002B0CFB">
        <w:rPr>
          <w:rFonts w:ascii="Trebuchet MS" w:hAnsi="Trebuchet MS"/>
        </w:rPr>
        <w:t xml:space="preserve">. Elle crée les conditions d’une harmonisation avec des </w:t>
      </w:r>
      <w:r w:rsidR="006D28F7">
        <w:rPr>
          <w:rFonts w:ascii="Trebuchet MS" w:hAnsi="Trebuchet MS"/>
        </w:rPr>
        <w:t>dispositifs</w:t>
      </w:r>
      <w:r w:rsidR="002B0CFB">
        <w:rPr>
          <w:rFonts w:ascii="Trebuchet MS" w:hAnsi="Trebuchet MS"/>
        </w:rPr>
        <w:t xml:space="preserve"> </w:t>
      </w:r>
      <w:r w:rsidRPr="00535CD8">
        <w:rPr>
          <w:rFonts w:ascii="Trebuchet MS" w:hAnsi="Trebuchet MS"/>
        </w:rPr>
        <w:t xml:space="preserve">déjà en vigueur dans le secteur privé. </w:t>
      </w:r>
    </w:p>
    <w:p w14:paraId="7C6D5819" w14:textId="76E1921E" w:rsidR="003C22A5" w:rsidRPr="00535CD8" w:rsidRDefault="006D28F7" w:rsidP="003C22A5">
      <w:pPr>
        <w:spacing w:after="0" w:line="240" w:lineRule="auto"/>
        <w:rPr>
          <w:rFonts w:ascii="Trebuchet MS" w:hAnsi="Trebuchet MS"/>
        </w:rPr>
      </w:pPr>
      <w:r w:rsidRPr="003E756C">
        <w:rPr>
          <w:rFonts w:ascii="Trebuchet MS" w:hAnsi="Trebuchet MS"/>
        </w:rPr>
        <w:t xml:space="preserve">Dans les six mois suivant leur renouvellement général, les assemblées délibérantes des collectivités territoriales et de leurs établissements publics </w:t>
      </w:r>
      <w:r w:rsidR="00F943A6">
        <w:rPr>
          <w:rFonts w:ascii="Trebuchet MS" w:hAnsi="Trebuchet MS"/>
        </w:rPr>
        <w:t xml:space="preserve">doivent </w:t>
      </w:r>
      <w:r w:rsidRPr="003E756C">
        <w:rPr>
          <w:rFonts w:ascii="Trebuchet MS" w:hAnsi="Trebuchet MS"/>
        </w:rPr>
        <w:t>organise</w:t>
      </w:r>
      <w:r w:rsidR="00F943A6">
        <w:rPr>
          <w:rFonts w:ascii="Trebuchet MS" w:hAnsi="Trebuchet MS"/>
        </w:rPr>
        <w:t>r</w:t>
      </w:r>
      <w:r w:rsidRPr="003E756C">
        <w:rPr>
          <w:rFonts w:ascii="Trebuchet MS" w:hAnsi="Trebuchet MS"/>
        </w:rPr>
        <w:t xml:space="preserve"> un débat portant sur les garanties accordées aux agent</w:t>
      </w:r>
      <w:r w:rsidR="00F943A6">
        <w:rPr>
          <w:rFonts w:ascii="Trebuchet MS" w:hAnsi="Trebuchet MS"/>
        </w:rPr>
        <w:t>.e</w:t>
      </w:r>
      <w:r w:rsidRPr="003E756C">
        <w:rPr>
          <w:rFonts w:ascii="Trebuchet MS" w:hAnsi="Trebuchet MS"/>
        </w:rPr>
        <w:t>s en matière de protection sociale complémentaire.</w:t>
      </w:r>
      <w:r w:rsidR="003C22A5" w:rsidRPr="00535CD8">
        <w:rPr>
          <w:rFonts w:ascii="Trebuchet MS" w:hAnsi="Trebuchet MS"/>
        </w:rPr>
        <w:t xml:space="preserve"> Le débat </w:t>
      </w:r>
      <w:r w:rsidR="00F943A6" w:rsidRPr="00535CD8">
        <w:rPr>
          <w:rFonts w:ascii="Trebuchet MS" w:hAnsi="Trebuchet MS"/>
        </w:rPr>
        <w:t>p</w:t>
      </w:r>
      <w:r w:rsidR="00F943A6">
        <w:rPr>
          <w:rFonts w:ascii="Trebuchet MS" w:hAnsi="Trebuchet MS"/>
        </w:rPr>
        <w:t>eut</w:t>
      </w:r>
      <w:r w:rsidR="00F943A6" w:rsidRPr="00535CD8">
        <w:rPr>
          <w:rFonts w:ascii="Trebuchet MS" w:hAnsi="Trebuchet MS"/>
        </w:rPr>
        <w:t xml:space="preserve"> </w:t>
      </w:r>
      <w:r w:rsidR="003C22A5" w:rsidRPr="00535CD8">
        <w:rPr>
          <w:rFonts w:ascii="Trebuchet MS" w:hAnsi="Trebuchet MS"/>
        </w:rPr>
        <w:t>porter sur les points suivants :</w:t>
      </w:r>
    </w:p>
    <w:p w14:paraId="09D9BC75" w14:textId="77777777" w:rsidR="003C22A5" w:rsidRPr="00535CD8" w:rsidRDefault="003C22A5" w:rsidP="003C22A5">
      <w:pPr>
        <w:spacing w:after="0" w:line="240" w:lineRule="auto"/>
        <w:rPr>
          <w:rFonts w:ascii="Trebuchet MS" w:hAnsi="Trebuchet MS"/>
        </w:rPr>
      </w:pPr>
    </w:p>
    <w:p w14:paraId="011F9446" w14:textId="77777777" w:rsidR="003C22A5" w:rsidRPr="00182A67"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Les enjeux de la protection sociale complémentaire (accompagnement social, arbitrages financiers, articulation avec les politiques de prévention, attractivité …) ;</w:t>
      </w:r>
    </w:p>
    <w:p w14:paraId="3387E4A6" w14:textId="77777777" w:rsidR="003C22A5"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Le rappel de la protection sociale statutaire ;</w:t>
      </w:r>
    </w:p>
    <w:p w14:paraId="5BF97413" w14:textId="0427E48C" w:rsidR="00F943A6" w:rsidRDefault="00F943A6" w:rsidP="003C22A5">
      <w:pPr>
        <w:pStyle w:val="Paragraphedeliste"/>
        <w:numPr>
          <w:ilvl w:val="0"/>
          <w:numId w:val="21"/>
        </w:numPr>
        <w:contextualSpacing/>
        <w:rPr>
          <w:rFonts w:ascii="Trebuchet MS" w:hAnsi="Trebuchet MS"/>
          <w:color w:val="0070C0"/>
        </w:rPr>
      </w:pPr>
      <w:r>
        <w:rPr>
          <w:rFonts w:ascii="Trebuchet MS" w:hAnsi="Trebuchet MS"/>
          <w:color w:val="0070C0"/>
        </w:rPr>
        <w:lastRenderedPageBreak/>
        <w:t>La volonté de la collectivité de choisir la labellisation ou la convention de participation ;</w:t>
      </w:r>
    </w:p>
    <w:p w14:paraId="07D952E1" w14:textId="3A30EDDF" w:rsidR="00F943A6" w:rsidRPr="00182A67" w:rsidRDefault="00F943A6" w:rsidP="003C22A5">
      <w:pPr>
        <w:pStyle w:val="Paragraphedeliste"/>
        <w:numPr>
          <w:ilvl w:val="0"/>
          <w:numId w:val="21"/>
        </w:numPr>
        <w:contextualSpacing/>
        <w:rPr>
          <w:rFonts w:ascii="Trebuchet MS" w:hAnsi="Trebuchet MS"/>
          <w:color w:val="0070C0"/>
        </w:rPr>
      </w:pPr>
      <w:r>
        <w:rPr>
          <w:rFonts w:ascii="Trebuchet MS" w:hAnsi="Trebuchet MS"/>
          <w:color w:val="0070C0"/>
        </w:rPr>
        <w:t>La volonté de la collectivité d’être accompagnée par le Centre de gestion ;</w:t>
      </w:r>
    </w:p>
    <w:p w14:paraId="7F5B7604" w14:textId="71DF884E" w:rsidR="003C22A5" w:rsidRPr="00182A67"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 xml:space="preserve">La nature des garanties </w:t>
      </w:r>
      <w:r w:rsidR="00F943A6">
        <w:rPr>
          <w:rFonts w:ascii="Trebuchet MS" w:hAnsi="Trebuchet MS"/>
          <w:color w:val="0070C0"/>
        </w:rPr>
        <w:t>souhaitées</w:t>
      </w:r>
      <w:r w:rsidR="00F943A6" w:rsidRPr="00182A67">
        <w:rPr>
          <w:rFonts w:ascii="Trebuchet MS" w:hAnsi="Trebuchet MS"/>
          <w:color w:val="0070C0"/>
        </w:rPr>
        <w:t> </w:t>
      </w:r>
      <w:r w:rsidRPr="00182A67">
        <w:rPr>
          <w:rFonts w:ascii="Trebuchet MS" w:hAnsi="Trebuchet MS"/>
          <w:color w:val="0070C0"/>
        </w:rPr>
        <w:t>;</w:t>
      </w:r>
    </w:p>
    <w:p w14:paraId="72CB6841" w14:textId="77777777" w:rsidR="003C22A5" w:rsidRPr="00182A67"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Le niveau de participation et sa trajectoire ;</w:t>
      </w:r>
    </w:p>
    <w:p w14:paraId="006B8452" w14:textId="053A36D9" w:rsidR="003C22A5" w:rsidRPr="00182A67"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L</w:t>
      </w:r>
      <w:r w:rsidR="00F943A6">
        <w:rPr>
          <w:rFonts w:ascii="Trebuchet MS" w:hAnsi="Trebuchet MS"/>
          <w:color w:val="0070C0"/>
        </w:rPr>
        <w:t xml:space="preserve">a volonté de la collectivité de négocier un accord majoritaire prévoyant le </w:t>
      </w:r>
      <w:r w:rsidRPr="00182A67">
        <w:rPr>
          <w:rFonts w:ascii="Trebuchet MS" w:hAnsi="Trebuchet MS"/>
          <w:color w:val="0070C0"/>
        </w:rPr>
        <w:t xml:space="preserve"> caractère obligatoire des contrats </w:t>
      </w:r>
      <w:r w:rsidR="00F943A6">
        <w:rPr>
          <w:rFonts w:ascii="Trebuchet MS" w:hAnsi="Trebuchet MS"/>
          <w:color w:val="0070C0"/>
        </w:rPr>
        <w:t>de participation</w:t>
      </w:r>
      <w:r w:rsidRPr="00182A67">
        <w:rPr>
          <w:rFonts w:ascii="Trebuchet MS" w:hAnsi="Trebuchet MS"/>
          <w:color w:val="0070C0"/>
        </w:rPr>
        <w:t> ;</w:t>
      </w:r>
    </w:p>
    <w:p w14:paraId="37BFF743" w14:textId="77777777" w:rsidR="003C22A5" w:rsidRPr="00182A67" w:rsidRDefault="003C22A5" w:rsidP="003C22A5">
      <w:pPr>
        <w:pStyle w:val="Paragraphedeliste"/>
        <w:numPr>
          <w:ilvl w:val="0"/>
          <w:numId w:val="21"/>
        </w:numPr>
        <w:contextualSpacing/>
        <w:rPr>
          <w:rFonts w:ascii="Trebuchet MS" w:hAnsi="Trebuchet MS"/>
          <w:color w:val="0070C0"/>
        </w:rPr>
      </w:pPr>
      <w:r w:rsidRPr="00182A67">
        <w:rPr>
          <w:rFonts w:ascii="Trebuchet MS" w:hAnsi="Trebuchet MS"/>
          <w:color w:val="0070C0"/>
        </w:rPr>
        <w:t>Le calendrier de mise en œuvre.</w:t>
      </w:r>
    </w:p>
    <w:p w14:paraId="5A7D8507" w14:textId="77777777" w:rsidR="003C22A5" w:rsidRPr="00535CD8" w:rsidRDefault="003C22A5" w:rsidP="003C22A5">
      <w:pPr>
        <w:spacing w:after="0" w:line="240" w:lineRule="auto"/>
        <w:rPr>
          <w:rFonts w:ascii="Trebuchet MS" w:hAnsi="Trebuchet MS"/>
        </w:rPr>
      </w:pPr>
    </w:p>
    <w:p w14:paraId="1C6551FC" w14:textId="2556E239" w:rsidR="003C22A5" w:rsidRPr="00535CD8" w:rsidRDefault="003C22A5" w:rsidP="003C22A5">
      <w:pPr>
        <w:spacing w:after="0" w:line="240" w:lineRule="auto"/>
        <w:rPr>
          <w:rFonts w:ascii="Trebuchet MS" w:hAnsi="Trebuchet MS"/>
        </w:rPr>
      </w:pPr>
      <w:r w:rsidRPr="00535CD8">
        <w:rPr>
          <w:rFonts w:ascii="Trebuchet MS" w:hAnsi="Trebuchet MS"/>
        </w:rPr>
        <w:t xml:space="preserve">Ce débat </w:t>
      </w:r>
      <w:r w:rsidR="006D28F7">
        <w:rPr>
          <w:rFonts w:ascii="Trebuchet MS" w:hAnsi="Trebuchet MS"/>
        </w:rPr>
        <w:t>pourra également s’appuyer</w:t>
      </w:r>
      <w:r w:rsidR="006D28F7" w:rsidRPr="00535CD8">
        <w:rPr>
          <w:rFonts w:ascii="Trebuchet MS" w:hAnsi="Trebuchet MS"/>
        </w:rPr>
        <w:t xml:space="preserve"> </w:t>
      </w:r>
      <w:r w:rsidRPr="00535CD8">
        <w:rPr>
          <w:rFonts w:ascii="Trebuchet MS" w:hAnsi="Trebuchet MS"/>
        </w:rPr>
        <w:t>sur les dispositions de l’ordonnance n°2021-174 du 17 février 2021 relative à la négociation et aux accords collectifs dans la fonction publique qui prévoient que les organisations syndicales peuvent conclure et signer des accords portant sur différents domaines de la gestion des ressources humaines et notamment de la protection sociale complémentaire.</w:t>
      </w:r>
    </w:p>
    <w:p w14:paraId="7606EE5C" w14:textId="570A60E2" w:rsidR="003C22A5" w:rsidRPr="00535CD8" w:rsidRDefault="006D28F7" w:rsidP="003C22A5">
      <w:pPr>
        <w:spacing w:after="0" w:line="240" w:lineRule="auto"/>
        <w:rPr>
          <w:rFonts w:ascii="Trebuchet MS" w:hAnsi="Trebuchet MS"/>
        </w:rPr>
      </w:pPr>
      <w:r>
        <w:rPr>
          <w:rFonts w:ascii="Trebuchet MS" w:hAnsi="Trebuchet MS"/>
        </w:rPr>
        <w:t xml:space="preserve">La réforme de la protection sociale complémentaire peut constituer ainsi, </w:t>
      </w:r>
      <w:r w:rsidR="003C22A5" w:rsidRPr="00535CD8">
        <w:rPr>
          <w:rFonts w:ascii="Trebuchet MS" w:hAnsi="Trebuchet MS"/>
        </w:rPr>
        <w:t xml:space="preserve">une opportunité pour valoriser </w:t>
      </w:r>
      <w:r>
        <w:rPr>
          <w:rFonts w:ascii="Trebuchet MS" w:hAnsi="Trebuchet MS"/>
        </w:rPr>
        <w:t>les</w:t>
      </w:r>
      <w:r w:rsidRPr="00535CD8">
        <w:rPr>
          <w:rFonts w:ascii="Trebuchet MS" w:hAnsi="Trebuchet MS"/>
        </w:rPr>
        <w:t xml:space="preserve"> politiques</w:t>
      </w:r>
      <w:r w:rsidR="003C22A5" w:rsidRPr="00535CD8">
        <w:rPr>
          <w:rFonts w:ascii="Trebuchet MS" w:hAnsi="Trebuchet MS"/>
        </w:rPr>
        <w:t xml:space="preserve"> de gestion des ressources humaines. En prenant soin de</w:t>
      </w:r>
      <w:r w:rsidR="00F943A6">
        <w:rPr>
          <w:rFonts w:ascii="Trebuchet MS" w:hAnsi="Trebuchet MS"/>
        </w:rPr>
        <w:t xml:space="preserve"> la santé</w:t>
      </w:r>
      <w:r w:rsidR="003C22A5" w:rsidRPr="00535CD8">
        <w:rPr>
          <w:rFonts w:ascii="Trebuchet MS" w:hAnsi="Trebuchet MS"/>
        </w:rPr>
        <w:t xml:space="preserve"> leurs agent</w:t>
      </w:r>
      <w:r w:rsidR="00F943A6">
        <w:rPr>
          <w:rFonts w:ascii="Trebuchet MS" w:hAnsi="Trebuchet MS"/>
        </w:rPr>
        <w:t>.e</w:t>
      </w:r>
      <w:r w:rsidR="003C22A5" w:rsidRPr="00535CD8">
        <w:rPr>
          <w:rFonts w:ascii="Trebuchet MS" w:hAnsi="Trebuchet MS"/>
        </w:rPr>
        <w:t>s</w:t>
      </w:r>
      <w:r w:rsidR="00F943A6">
        <w:rPr>
          <w:rFonts w:ascii="Trebuchet MS" w:hAnsi="Trebuchet MS"/>
        </w:rPr>
        <w:t xml:space="preserve"> et en anticipant les risques liés à la santé</w:t>
      </w:r>
      <w:r w:rsidR="003C22A5" w:rsidRPr="00535CD8">
        <w:rPr>
          <w:rFonts w:ascii="Trebuchet MS" w:hAnsi="Trebuchet MS"/>
        </w:rPr>
        <w:t xml:space="preserve">, </w:t>
      </w:r>
      <w:r>
        <w:rPr>
          <w:rFonts w:ascii="Trebuchet MS" w:hAnsi="Trebuchet MS"/>
        </w:rPr>
        <w:t>les employeurs publics</w:t>
      </w:r>
      <w:r w:rsidR="003C22A5" w:rsidRPr="00535CD8">
        <w:rPr>
          <w:rFonts w:ascii="Trebuchet MS" w:hAnsi="Trebuchet MS"/>
        </w:rPr>
        <w:t xml:space="preserve"> </w:t>
      </w:r>
      <w:r>
        <w:rPr>
          <w:rFonts w:ascii="Trebuchet MS" w:hAnsi="Trebuchet MS"/>
        </w:rPr>
        <w:t>créent les conditions d’</w:t>
      </w:r>
      <w:r w:rsidR="003C22A5" w:rsidRPr="00535CD8">
        <w:rPr>
          <w:rFonts w:ascii="Trebuchet MS" w:hAnsi="Trebuchet MS"/>
        </w:rPr>
        <w:t>une dynamique positive d</w:t>
      </w:r>
      <w:r>
        <w:rPr>
          <w:rFonts w:ascii="Trebuchet MS" w:hAnsi="Trebuchet MS"/>
        </w:rPr>
        <w:t>u</w:t>
      </w:r>
      <w:r w:rsidR="003C22A5" w:rsidRPr="00535CD8">
        <w:rPr>
          <w:rFonts w:ascii="Trebuchet MS" w:hAnsi="Trebuchet MS"/>
        </w:rPr>
        <w:t xml:space="preserve"> travail </w:t>
      </w:r>
      <w:r>
        <w:rPr>
          <w:rFonts w:ascii="Trebuchet MS" w:hAnsi="Trebuchet MS"/>
        </w:rPr>
        <w:t>qui va de pair avec la qu</w:t>
      </w:r>
      <w:r w:rsidR="003C22A5" w:rsidRPr="00535CD8">
        <w:rPr>
          <w:rFonts w:ascii="Trebuchet MS" w:hAnsi="Trebuchet MS"/>
        </w:rPr>
        <w:t>alité d</w:t>
      </w:r>
      <w:r>
        <w:rPr>
          <w:rFonts w:ascii="Trebuchet MS" w:hAnsi="Trebuchet MS"/>
        </w:rPr>
        <w:t>u</w:t>
      </w:r>
      <w:r w:rsidR="003C22A5" w:rsidRPr="00535CD8">
        <w:rPr>
          <w:rFonts w:ascii="Trebuchet MS" w:hAnsi="Trebuchet MS"/>
        </w:rPr>
        <w:t xml:space="preserve"> service </w:t>
      </w:r>
      <w:r>
        <w:rPr>
          <w:rFonts w:ascii="Trebuchet MS" w:hAnsi="Trebuchet MS"/>
        </w:rPr>
        <w:t xml:space="preserve">rendu </w:t>
      </w:r>
      <w:r w:rsidR="003C22A5" w:rsidRPr="00535CD8">
        <w:rPr>
          <w:rFonts w:ascii="Trebuchet MS" w:hAnsi="Trebuchet MS"/>
        </w:rPr>
        <w:t>aux habitant</w:t>
      </w:r>
      <w:r w:rsidR="00F943A6">
        <w:rPr>
          <w:rFonts w:ascii="Trebuchet MS" w:hAnsi="Trebuchet MS"/>
        </w:rPr>
        <w:t>.e</w:t>
      </w:r>
      <w:r w:rsidR="003C22A5" w:rsidRPr="00535CD8">
        <w:rPr>
          <w:rFonts w:ascii="Trebuchet MS" w:hAnsi="Trebuchet MS"/>
        </w:rPr>
        <w:t>s de leur territoire.</w:t>
      </w:r>
    </w:p>
    <w:p w14:paraId="02F33A02" w14:textId="59B591AE" w:rsidR="003C22A5" w:rsidRPr="00535CD8" w:rsidRDefault="006D28F7" w:rsidP="003C22A5">
      <w:pPr>
        <w:spacing w:after="0" w:line="240" w:lineRule="auto"/>
        <w:rPr>
          <w:rFonts w:ascii="Trebuchet MS" w:hAnsi="Trebuchet MS"/>
        </w:rPr>
      </w:pPr>
      <w:r>
        <w:rPr>
          <w:rFonts w:ascii="Trebuchet MS" w:hAnsi="Trebuchet MS"/>
        </w:rPr>
        <w:t>La protection sociale complémentaire</w:t>
      </w:r>
      <w:r w:rsidR="003C22A5" w:rsidRPr="00535CD8">
        <w:rPr>
          <w:rFonts w:ascii="Trebuchet MS" w:hAnsi="Trebuchet MS"/>
        </w:rPr>
        <w:t xml:space="preserve"> compl</w:t>
      </w:r>
      <w:r>
        <w:rPr>
          <w:rFonts w:ascii="Trebuchet MS" w:hAnsi="Trebuchet MS"/>
        </w:rPr>
        <w:t>ète</w:t>
      </w:r>
      <w:r w:rsidR="003C22A5" w:rsidRPr="00535CD8">
        <w:rPr>
          <w:rFonts w:ascii="Trebuchet MS" w:hAnsi="Trebuchet MS"/>
        </w:rPr>
        <w:t xml:space="preserve"> les dispositifs de prévention des risques au travail, de gestion prévisionnelle des emplois et des compétences pour rendre soutenable la pénibilité de certains métiers et limiter la progression de l’absentéisme. </w:t>
      </w:r>
    </w:p>
    <w:p w14:paraId="4805187F" w14:textId="77777777" w:rsidR="003C22A5" w:rsidRPr="00535CD8" w:rsidRDefault="003C22A5" w:rsidP="003C22A5">
      <w:pPr>
        <w:spacing w:after="0" w:line="240" w:lineRule="auto"/>
        <w:rPr>
          <w:rFonts w:ascii="Trebuchet MS" w:hAnsi="Trebuchet MS"/>
        </w:rPr>
      </w:pPr>
      <w:r w:rsidRPr="00535CD8">
        <w:rPr>
          <w:rFonts w:ascii="Trebuchet MS" w:hAnsi="Trebuchet MS"/>
        </w:rPr>
        <w:t>Ainsi selon un baromètre IFOP pour la MNT de décembre 2020, la couverture des agents est la suivante :</w:t>
      </w:r>
    </w:p>
    <w:p w14:paraId="06899BB5" w14:textId="77777777" w:rsidR="003C22A5" w:rsidRPr="00535CD8" w:rsidRDefault="003C22A5" w:rsidP="003C22A5">
      <w:pPr>
        <w:pStyle w:val="Paragraphedeliste"/>
        <w:numPr>
          <w:ilvl w:val="0"/>
          <w:numId w:val="22"/>
        </w:numPr>
        <w:contextualSpacing/>
        <w:rPr>
          <w:rFonts w:ascii="Trebuchet MS" w:hAnsi="Trebuchet MS"/>
        </w:rPr>
      </w:pPr>
      <w:r w:rsidRPr="00535CD8">
        <w:rPr>
          <w:rFonts w:ascii="Trebuchet MS" w:hAnsi="Trebuchet MS"/>
        </w:rPr>
        <w:t>2/3 des collectivités interrogées participent financièrement à la complémentaire santé : 62% ont choisi la labellisation et 38% la convention de participation. Le montant de la participation s’élève en moyenne à 18,90 euros par mois et par agent (contre 17,10 euros en 2017)</w:t>
      </w:r>
      <w:r>
        <w:rPr>
          <w:rFonts w:ascii="Trebuchet MS" w:hAnsi="Trebuchet MS"/>
        </w:rPr>
        <w:t> ;</w:t>
      </w:r>
    </w:p>
    <w:p w14:paraId="68271185" w14:textId="77777777" w:rsidR="003C22A5" w:rsidRDefault="003C22A5" w:rsidP="003C22A5">
      <w:pPr>
        <w:pStyle w:val="Paragraphedeliste"/>
        <w:numPr>
          <w:ilvl w:val="0"/>
          <w:numId w:val="22"/>
        </w:numPr>
        <w:contextualSpacing/>
        <w:rPr>
          <w:rFonts w:ascii="Trebuchet MS" w:hAnsi="Trebuchet MS"/>
        </w:rPr>
      </w:pPr>
      <w:r w:rsidRPr="00535CD8">
        <w:rPr>
          <w:rFonts w:ascii="Trebuchet MS" w:hAnsi="Trebuchet MS"/>
        </w:rPr>
        <w:t>Plus des 3/4 des collectivités interrogées participent financièrement à la complémentaire prévoyance : 62% ont choisi la convention de participation et 37% la labellisation. Le montant de la participation s’élève en moyenne à 12,20 euros par mois et par agent (contre 11,40 euros en 2017)</w:t>
      </w:r>
      <w:r>
        <w:rPr>
          <w:rFonts w:ascii="Trebuchet MS" w:hAnsi="Trebuchet MS"/>
        </w:rPr>
        <w:t>.</w:t>
      </w:r>
    </w:p>
    <w:p w14:paraId="3DD7FFF2" w14:textId="77777777" w:rsidR="003C22A5" w:rsidRPr="00535CD8" w:rsidRDefault="003C22A5" w:rsidP="003C22A5">
      <w:pPr>
        <w:spacing w:after="0" w:line="240" w:lineRule="auto"/>
        <w:rPr>
          <w:rFonts w:ascii="Trebuchet MS" w:hAnsi="Trebuchet MS"/>
        </w:rPr>
      </w:pPr>
    </w:p>
    <w:p w14:paraId="0DD16295" w14:textId="7E656063" w:rsidR="003C22A5" w:rsidRPr="00535CD8" w:rsidRDefault="003C22A5" w:rsidP="003C22A5">
      <w:pPr>
        <w:spacing w:after="0" w:line="240" w:lineRule="auto"/>
        <w:rPr>
          <w:rFonts w:ascii="Trebuchet MS" w:hAnsi="Trebuchet MS"/>
        </w:rPr>
      </w:pPr>
      <w:r w:rsidRPr="00535CD8">
        <w:rPr>
          <w:rFonts w:ascii="Trebuchet MS" w:hAnsi="Trebuchet MS"/>
        </w:rPr>
        <w:t>Ce sont, donc, 89% des employeurs publics locaux qui déclarent participer financièrement à la protection sociale complémentaire de leurs agents en santé et/ou en prévoyance. Ils mettent en avant que cette participation financière améliore les conditions de travail et la santé des agent</w:t>
      </w:r>
      <w:r w:rsidR="00F943A6">
        <w:rPr>
          <w:rFonts w:ascii="Trebuchet MS" w:hAnsi="Trebuchet MS"/>
        </w:rPr>
        <w:t>.e</w:t>
      </w:r>
      <w:r w:rsidRPr="00535CD8">
        <w:rPr>
          <w:rFonts w:ascii="Trebuchet MS" w:hAnsi="Trebuchet MS"/>
        </w:rPr>
        <w:t>s, l’attractivité de la collectivité en tant qu’employeur, le dialogue social et contribue à la motivation des agent</w:t>
      </w:r>
      <w:r w:rsidR="00F943A6">
        <w:rPr>
          <w:rFonts w:ascii="Trebuchet MS" w:hAnsi="Trebuchet MS"/>
        </w:rPr>
        <w:t>.e</w:t>
      </w:r>
      <w:r w:rsidRPr="00535CD8">
        <w:rPr>
          <w:rFonts w:ascii="Trebuchet MS" w:hAnsi="Trebuchet MS"/>
        </w:rPr>
        <w:t>s</w:t>
      </w:r>
      <w:r w:rsidR="00F943A6">
        <w:rPr>
          <w:rFonts w:ascii="Trebuchet MS" w:hAnsi="Trebuchet MS"/>
        </w:rPr>
        <w:t xml:space="preserve"> dans un cadre de prise en compte de la qualité de vie au travail</w:t>
      </w:r>
      <w:r w:rsidRPr="00535CD8">
        <w:rPr>
          <w:rFonts w:ascii="Trebuchet MS" w:hAnsi="Trebuchet MS"/>
        </w:rPr>
        <w:t>.</w:t>
      </w:r>
    </w:p>
    <w:p w14:paraId="34BFB17E" w14:textId="77777777" w:rsidR="003C22A5" w:rsidRDefault="003C22A5" w:rsidP="003C22A5">
      <w:pPr>
        <w:spacing w:after="0" w:line="240" w:lineRule="auto"/>
        <w:rPr>
          <w:rFonts w:ascii="Trebuchet MS" w:hAnsi="Trebuchet MS"/>
        </w:rPr>
      </w:pPr>
    </w:p>
    <w:p w14:paraId="3908ED90" w14:textId="004CB60F" w:rsidR="003C22A5" w:rsidRPr="00535CD8" w:rsidRDefault="00D06AE9" w:rsidP="003C22A5">
      <w:pPr>
        <w:spacing w:after="0" w:line="240" w:lineRule="auto"/>
        <w:rPr>
          <w:rFonts w:ascii="Trebuchet MS" w:hAnsi="Trebuchet MS"/>
        </w:rPr>
      </w:pPr>
      <w:r>
        <w:rPr>
          <w:rFonts w:ascii="Trebuchet MS" w:hAnsi="Trebuchet MS"/>
        </w:rPr>
        <w:t>A</w:t>
      </w:r>
      <w:r w:rsidR="003C22A5" w:rsidRPr="00535CD8">
        <w:rPr>
          <w:rFonts w:ascii="Trebuchet MS" w:hAnsi="Trebuchet MS"/>
        </w:rPr>
        <w:t xml:space="preserve"> travers les décrets d’application de l’ordonnance sur la protection sociale complémentaire</w:t>
      </w:r>
      <w:r w:rsidR="00F943A6">
        <w:rPr>
          <w:rFonts w:ascii="Trebuchet MS" w:hAnsi="Trebuchet MS"/>
        </w:rPr>
        <w:t>,</w:t>
      </w:r>
      <w:r w:rsidR="003C22A5" w:rsidRPr="00535CD8">
        <w:rPr>
          <w:rFonts w:ascii="Trebuchet MS" w:hAnsi="Trebuchet MS"/>
        </w:rPr>
        <w:t xml:space="preserve"> certain</w:t>
      </w:r>
      <w:r>
        <w:rPr>
          <w:rFonts w:ascii="Trebuchet MS" w:hAnsi="Trebuchet MS"/>
        </w:rPr>
        <w:t>s</w:t>
      </w:r>
      <w:r w:rsidR="003C22A5" w:rsidRPr="00535CD8">
        <w:rPr>
          <w:rFonts w:ascii="Trebuchet MS" w:hAnsi="Trebuchet MS"/>
        </w:rPr>
        <w:t xml:space="preserve"> points </w:t>
      </w:r>
      <w:r w:rsidR="003E756C">
        <w:rPr>
          <w:rFonts w:ascii="Trebuchet MS" w:hAnsi="Trebuchet MS"/>
        </w:rPr>
        <w:t xml:space="preserve">restent </w:t>
      </w:r>
      <w:r w:rsidR="003C22A5" w:rsidRPr="00535CD8">
        <w:rPr>
          <w:rFonts w:ascii="Trebuchet MS" w:hAnsi="Trebuchet MS"/>
        </w:rPr>
        <w:t>à préciser. Parmi eux :</w:t>
      </w:r>
    </w:p>
    <w:p w14:paraId="268E8F65" w14:textId="5F7ABBDE"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Le montant de référence sur lequel se basera la participation</w:t>
      </w:r>
      <w:r w:rsidR="00F943A6">
        <w:rPr>
          <w:rFonts w:ascii="Trebuchet MS" w:hAnsi="Trebuchet MS"/>
        </w:rPr>
        <w:t xml:space="preserve"> obligatoire</w:t>
      </w:r>
      <w:r w:rsidRPr="00535CD8">
        <w:rPr>
          <w:rFonts w:ascii="Trebuchet MS" w:hAnsi="Trebuchet MS"/>
        </w:rPr>
        <w:t xml:space="preserve"> (quel panier de soins minimal pourra correspondre en santé, quelle garantie en prévoyance) et quel indice de révision ?</w:t>
      </w:r>
    </w:p>
    <w:p w14:paraId="461FE69D" w14:textId="77777777"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La portabilité des contrats en cas de mobilité</w:t>
      </w:r>
      <w:r>
        <w:rPr>
          <w:rFonts w:ascii="Trebuchet MS" w:hAnsi="Trebuchet MS"/>
        </w:rPr>
        <w:t> ;</w:t>
      </w:r>
    </w:p>
    <w:p w14:paraId="50DEF578" w14:textId="77777777"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Le public éligible</w:t>
      </w:r>
      <w:r>
        <w:rPr>
          <w:rFonts w:ascii="Trebuchet MS" w:hAnsi="Trebuchet MS"/>
        </w:rPr>
        <w:t> ;</w:t>
      </w:r>
    </w:p>
    <w:p w14:paraId="147BCDAB" w14:textId="77777777"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Les critères de solidarité intergénérationnelle exigibles lors des consultations</w:t>
      </w:r>
      <w:r>
        <w:rPr>
          <w:rFonts w:ascii="Trebuchet MS" w:hAnsi="Trebuchet MS"/>
        </w:rPr>
        <w:t> ;</w:t>
      </w:r>
    </w:p>
    <w:p w14:paraId="6C8DE120" w14:textId="77777777"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La situation des retraités</w:t>
      </w:r>
      <w:r>
        <w:rPr>
          <w:rFonts w:ascii="Trebuchet MS" w:hAnsi="Trebuchet MS"/>
        </w:rPr>
        <w:t> ;</w:t>
      </w:r>
    </w:p>
    <w:p w14:paraId="1A0277D2" w14:textId="5A3A415C"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lastRenderedPageBreak/>
        <w:t>La situation des agents multi-employeurs</w:t>
      </w:r>
      <w:r w:rsidR="00401873">
        <w:rPr>
          <w:rFonts w:ascii="Trebuchet MS" w:hAnsi="Trebuchet MS"/>
        </w:rPr>
        <w:t> ;</w:t>
      </w:r>
    </w:p>
    <w:p w14:paraId="6BBB7C0B" w14:textId="1F232EAD" w:rsidR="003C22A5" w:rsidRPr="00535CD8" w:rsidRDefault="003C22A5" w:rsidP="003C22A5">
      <w:pPr>
        <w:pStyle w:val="Paragraphedeliste"/>
        <w:numPr>
          <w:ilvl w:val="0"/>
          <w:numId w:val="23"/>
        </w:numPr>
        <w:contextualSpacing/>
        <w:rPr>
          <w:rFonts w:ascii="Trebuchet MS" w:hAnsi="Trebuchet MS"/>
        </w:rPr>
      </w:pPr>
      <w:r w:rsidRPr="00535CD8">
        <w:rPr>
          <w:rFonts w:ascii="Trebuchet MS" w:hAnsi="Trebuchet MS"/>
        </w:rPr>
        <w:t>La fiscalité applicable (agent</w:t>
      </w:r>
      <w:r w:rsidR="00D06AE9">
        <w:rPr>
          <w:rFonts w:ascii="Trebuchet MS" w:hAnsi="Trebuchet MS"/>
        </w:rPr>
        <w:t>·es</w:t>
      </w:r>
      <w:r w:rsidRPr="00535CD8">
        <w:rPr>
          <w:rFonts w:ascii="Trebuchet MS" w:hAnsi="Trebuchet MS"/>
        </w:rPr>
        <w:t xml:space="preserve"> et employeur</w:t>
      </w:r>
      <w:r w:rsidR="00D06AE9">
        <w:rPr>
          <w:rFonts w:ascii="Trebuchet MS" w:hAnsi="Trebuchet MS"/>
        </w:rPr>
        <w:t>s</w:t>
      </w:r>
      <w:bookmarkStart w:id="0" w:name="_GoBack"/>
      <w:bookmarkEnd w:id="0"/>
      <w:r w:rsidRPr="00535CD8">
        <w:rPr>
          <w:rFonts w:ascii="Trebuchet MS" w:hAnsi="Trebuchet MS"/>
        </w:rPr>
        <w:t>)</w:t>
      </w:r>
      <w:r>
        <w:rPr>
          <w:rFonts w:ascii="Trebuchet MS" w:hAnsi="Trebuchet MS"/>
        </w:rPr>
        <w:t>.</w:t>
      </w:r>
    </w:p>
    <w:p w14:paraId="655A16C1" w14:textId="77777777" w:rsidR="003C22A5" w:rsidRPr="00535CD8" w:rsidRDefault="003C22A5" w:rsidP="003C22A5">
      <w:pPr>
        <w:spacing w:after="0" w:line="240" w:lineRule="auto"/>
        <w:rPr>
          <w:rFonts w:ascii="Trebuchet MS" w:hAnsi="Trebuchet MS"/>
        </w:rPr>
      </w:pPr>
    </w:p>
    <w:p w14:paraId="4C27D14A" w14:textId="40D8F3C0" w:rsidR="003C22A5" w:rsidRDefault="00401873" w:rsidP="003C22A5">
      <w:pPr>
        <w:spacing w:after="0" w:line="240" w:lineRule="auto"/>
        <w:rPr>
          <w:rFonts w:ascii="Trebuchet MS" w:hAnsi="Trebuchet MS"/>
        </w:rPr>
      </w:pPr>
      <w:r>
        <w:rPr>
          <w:rFonts w:ascii="Trebuchet MS" w:hAnsi="Trebuchet MS"/>
        </w:rPr>
        <w:t>Si les décrets en question ne sont pas encore entrés en vigueur et sont encore en cours de discussion à l’échelon national, i</w:t>
      </w:r>
      <w:r w:rsidR="003C22A5" w:rsidRPr="00535CD8">
        <w:rPr>
          <w:rFonts w:ascii="Trebuchet MS" w:hAnsi="Trebuchet MS"/>
        </w:rPr>
        <w:t xml:space="preserve">l appartient toutefois à l’organe délibérant </w:t>
      </w:r>
      <w:r>
        <w:rPr>
          <w:rFonts w:ascii="Trebuchet MS" w:hAnsi="Trebuchet MS"/>
        </w:rPr>
        <w:t>de débattre des</w:t>
      </w:r>
      <w:r w:rsidR="003C22A5" w:rsidRPr="00535CD8">
        <w:rPr>
          <w:rFonts w:ascii="Trebuchet MS" w:hAnsi="Trebuchet MS"/>
        </w:rPr>
        <w:t xml:space="preserve"> différents points évoqués</w:t>
      </w:r>
      <w:r>
        <w:rPr>
          <w:rFonts w:ascii="Trebuchet MS" w:hAnsi="Trebuchet MS"/>
        </w:rPr>
        <w:t xml:space="preserve"> compte tenu des informations actuellement à disposition</w:t>
      </w:r>
      <w:r w:rsidR="003C22A5" w:rsidRPr="00535CD8">
        <w:rPr>
          <w:rFonts w:ascii="Trebuchet MS" w:hAnsi="Trebuchet MS"/>
        </w:rPr>
        <w:t>.</w:t>
      </w:r>
    </w:p>
    <w:p w14:paraId="4E701C25" w14:textId="77777777" w:rsidR="00B6172C" w:rsidRPr="00EB54CD" w:rsidRDefault="00B6172C" w:rsidP="00B6172C">
      <w:pPr>
        <w:pStyle w:val="Paragraphedeliste"/>
      </w:pPr>
    </w:p>
    <w:p w14:paraId="3BC2C218" w14:textId="4E38066B" w:rsidR="000A6C9B" w:rsidRPr="00EB54CD" w:rsidRDefault="00A42E08" w:rsidP="00B6172C">
      <w:pPr>
        <w:pStyle w:val="Paragraphedeliste"/>
        <w:spacing w:after="120"/>
      </w:pPr>
      <w:r w:rsidRPr="00EB54CD">
        <w:rPr>
          <w:noProof/>
          <w:lang w:eastAsia="fr-FR"/>
        </w:rPr>
        <w:drawing>
          <wp:anchor distT="0" distB="0" distL="114300" distR="114300" simplePos="0" relativeHeight="251657216" behindDoc="0" locked="0" layoutInCell="1" allowOverlap="1" wp14:anchorId="721545B4" wp14:editId="4A2DF3BF">
            <wp:simplePos x="0" y="0"/>
            <wp:positionH relativeFrom="margin">
              <wp:align>left</wp:align>
            </wp:positionH>
            <wp:positionV relativeFrom="paragraph">
              <wp:posOffset>219075</wp:posOffset>
            </wp:positionV>
            <wp:extent cx="263525" cy="341630"/>
            <wp:effectExtent l="0" t="0" r="3175" b="1270"/>
            <wp:wrapSquare wrapText="bothSides"/>
            <wp:docPr id="2048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Image 9"/>
                    <pic:cNvPicPr>
                      <a:picLocks noChangeAspect="1"/>
                    </pic:cNvPicPr>
                  </pic:nvPicPr>
                  <pic:blipFill rotWithShape="1">
                    <a:blip r:embed="rId8" cstate="print">
                      <a:extLst>
                        <a:ext uri="{28A0092B-C50C-407E-A947-70E740481C1C}">
                          <a14:useLocalDpi xmlns:a14="http://schemas.microsoft.com/office/drawing/2010/main" val="0"/>
                        </a:ext>
                      </a:extLst>
                    </a:blip>
                    <a:srcRect l="8044" t="17471" r="64047" b="17059"/>
                    <a:stretch/>
                  </pic:blipFill>
                  <pic:spPr bwMode="auto">
                    <a:xfrm>
                      <a:off x="0" y="0"/>
                      <a:ext cx="263525" cy="34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72C">
        <w:t>____________________</w:t>
      </w:r>
    </w:p>
    <w:p w14:paraId="63014FE0" w14:textId="22091691" w:rsidR="000A6C9B" w:rsidRPr="00B6172C" w:rsidRDefault="00A42E08" w:rsidP="00B6172C">
      <w:pPr>
        <w:pStyle w:val="licenceouverte"/>
      </w:pPr>
      <w:r w:rsidRPr="00B6172C">
        <w:drawing>
          <wp:anchor distT="0" distB="0" distL="114300" distR="114300" simplePos="0" relativeHeight="251658240" behindDoc="0" locked="0" layoutInCell="1" allowOverlap="1" wp14:anchorId="3BDEE6AC" wp14:editId="52F83736">
            <wp:simplePos x="0" y="0"/>
            <wp:positionH relativeFrom="column">
              <wp:posOffset>791210</wp:posOffset>
            </wp:positionH>
            <wp:positionV relativeFrom="paragraph">
              <wp:posOffset>125095</wp:posOffset>
            </wp:positionV>
            <wp:extent cx="70117" cy="91017"/>
            <wp:effectExtent l="0" t="0" r="6350" b="4445"/>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Image 9"/>
                    <pic:cNvPicPr>
                      <a:picLocks noChangeAspect="1"/>
                    </pic:cNvPicPr>
                  </pic:nvPicPr>
                  <pic:blipFill rotWithShape="1">
                    <a:blip r:embed="rId8" cstate="print">
                      <a:extLst>
                        <a:ext uri="{28A0092B-C50C-407E-A947-70E740481C1C}">
                          <a14:useLocalDpi xmlns:a14="http://schemas.microsoft.com/office/drawing/2010/main" val="0"/>
                        </a:ext>
                      </a:extLst>
                    </a:blip>
                    <a:srcRect l="8044" t="17471" r="64047" b="17059"/>
                    <a:stretch/>
                  </pic:blipFill>
                  <pic:spPr bwMode="auto">
                    <a:xfrm>
                      <a:off x="0" y="0"/>
                      <a:ext cx="70117" cy="910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6C9B" w:rsidRPr="00B6172C">
        <w:t>Le Cdg59 autorise la réutilisation de ses informations et documents dans les libertés et les conditions prévues par la licence</w:t>
      </w:r>
      <w:r w:rsidR="003610B9" w:rsidRPr="00B6172C">
        <w:t xml:space="preserve"> </w:t>
      </w:r>
      <w:r w:rsidR="000A6C9B" w:rsidRPr="00B6172C">
        <w:t xml:space="preserve">  </w:t>
      </w:r>
      <w:r w:rsidR="003610B9" w:rsidRPr="00B6172C">
        <w:t xml:space="preserve"> </w:t>
      </w:r>
      <w:r w:rsidR="000A6C9B" w:rsidRPr="00B6172C">
        <w:t>sous réserve d’apposer la mention :</w:t>
      </w:r>
    </w:p>
    <w:p w14:paraId="399CF51A" w14:textId="7D776288" w:rsidR="000A6C9B" w:rsidRDefault="000A6C9B" w:rsidP="00B6172C">
      <w:pPr>
        <w:pStyle w:val="licenceouverte"/>
        <w:rPr>
          <w:b/>
          <w:bCs/>
        </w:rPr>
      </w:pPr>
      <w:r w:rsidRPr="00B6172C">
        <w:t>«</w:t>
      </w:r>
      <w:r w:rsidR="003610B9" w:rsidRPr="00B6172C">
        <w:t xml:space="preserve"> </w:t>
      </w:r>
      <w:r w:rsidRPr="00B6172C">
        <w:t>Source : Cdg59, titre et lien du document ou de l’information et date de sa dernière mise à jour</w:t>
      </w:r>
      <w:r w:rsidR="003610B9" w:rsidRPr="00B6172C">
        <w:t xml:space="preserve"> </w:t>
      </w:r>
      <w:r w:rsidRPr="00B6172C">
        <w:t>»</w:t>
      </w:r>
      <w:r w:rsidRPr="00B6172C">
        <w:rPr>
          <w:b/>
          <w:bCs/>
        </w:rPr>
        <w:t xml:space="preserve"> </w:t>
      </w:r>
    </w:p>
    <w:p w14:paraId="0E134B7A" w14:textId="77777777" w:rsidR="003C22A5" w:rsidRDefault="003C22A5" w:rsidP="00B6172C">
      <w:pPr>
        <w:pStyle w:val="licenceouverte"/>
        <w:rPr>
          <w:b/>
          <w:bCs/>
        </w:rPr>
      </w:pPr>
    </w:p>
    <w:p w14:paraId="154335EE" w14:textId="67A26899" w:rsidR="003C22A5" w:rsidRDefault="003C22A5" w:rsidP="00B6172C">
      <w:pPr>
        <w:pStyle w:val="licenceouverte"/>
        <w:rPr>
          <w:b/>
          <w:bCs/>
        </w:rPr>
      </w:pPr>
      <w:r>
        <w:rPr>
          <w:b/>
          <w:bCs/>
        </w:rPr>
        <w:t xml:space="preserve">Ce document a été réalisé par </w:t>
      </w:r>
    </w:p>
    <w:p w14:paraId="4E789E30" w14:textId="7911EE1E" w:rsidR="003C22A5" w:rsidRPr="00B6172C" w:rsidRDefault="003C22A5" w:rsidP="00B6172C">
      <w:pPr>
        <w:pStyle w:val="licenceouverte"/>
      </w:pPr>
      <w:r>
        <w:drawing>
          <wp:inline distT="0" distB="0" distL="0" distR="0" wp14:anchorId="4C783718" wp14:editId="3AE67BDF">
            <wp:extent cx="2682875" cy="621030"/>
            <wp:effectExtent l="0" t="0" r="3175" b="7620"/>
            <wp:docPr id="56" name="Image 56" descr="L'image “file://///Cig_serveur/miss_fac/Analyse%20et%20prospective%20sociales/ANDCDG/ANDCDGlogo.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file://///Cig_serveur/miss_fac/Analyse%20et%20prospective%20sociales/ANDCDG/ANDCDGlogo.gif” ne peut être affichée, car elle contient des erreu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875" cy="621030"/>
                    </a:xfrm>
                    <a:prstGeom prst="rect">
                      <a:avLst/>
                    </a:prstGeom>
                    <a:noFill/>
                    <a:ln>
                      <a:noFill/>
                    </a:ln>
                  </pic:spPr>
                </pic:pic>
              </a:graphicData>
            </a:graphic>
          </wp:inline>
        </w:drawing>
      </w:r>
    </w:p>
    <w:sectPr w:rsidR="003C22A5" w:rsidRPr="00B6172C" w:rsidSect="00577A8E">
      <w:headerReference w:type="default" r:id="rId10"/>
      <w:footerReference w:type="default" r:id="rId11"/>
      <w:pgSz w:w="11906" w:h="16838"/>
      <w:pgMar w:top="1417" w:right="1417" w:bottom="1417" w:left="1417" w:header="42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6312A" w14:textId="77777777" w:rsidR="005866A8" w:rsidRDefault="005866A8" w:rsidP="00B6172C">
      <w:r>
        <w:separator/>
      </w:r>
    </w:p>
  </w:endnote>
  <w:endnote w:type="continuationSeparator" w:id="0">
    <w:p w14:paraId="260C7AC1" w14:textId="77777777" w:rsidR="005866A8" w:rsidRDefault="005866A8" w:rsidP="00B6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06D0" w14:textId="40DD6695" w:rsidR="00524BF0" w:rsidRPr="00D97235" w:rsidRDefault="00D97235" w:rsidP="00B6172C">
    <w:pPr>
      <w:pStyle w:val="Pieddepage"/>
    </w:pPr>
    <w:r w:rsidRPr="001D3744">
      <w:rPr>
        <w:rFonts w:ascii="Trebuchet MS" w:hAnsi="Trebuchet MS"/>
        <w:noProof/>
        <w:lang w:eastAsia="fr-FR"/>
      </w:rPr>
      <mc:AlternateContent>
        <mc:Choice Requires="wps">
          <w:drawing>
            <wp:anchor distT="0" distB="0" distL="114300" distR="114300" simplePos="0" relativeHeight="251666432" behindDoc="0" locked="0" layoutInCell="1" allowOverlap="1" wp14:anchorId="20A1ABC9" wp14:editId="39C54B78">
              <wp:simplePos x="0" y="0"/>
              <wp:positionH relativeFrom="column">
                <wp:posOffset>3568838</wp:posOffset>
              </wp:positionH>
              <wp:positionV relativeFrom="paragraph">
                <wp:posOffset>-88790</wp:posOffset>
              </wp:positionV>
              <wp:extent cx="2719346" cy="7952"/>
              <wp:effectExtent l="0" t="0" r="24130" b="30480"/>
              <wp:wrapNone/>
              <wp:docPr id="6" name="Connecteur droit 6"/>
              <wp:cNvGraphicFramePr/>
              <a:graphic xmlns:a="http://schemas.openxmlformats.org/drawingml/2006/main">
                <a:graphicData uri="http://schemas.microsoft.com/office/word/2010/wordprocessingShape">
                  <wps:wsp>
                    <wps:cNvCnPr/>
                    <wps:spPr>
                      <a:xfrm>
                        <a:off x="0" y="0"/>
                        <a:ext cx="2719346" cy="795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3B102" id="Connecteur droit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7pt" to="495.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" strokecolor="#ed7d31 [3205]" strokeweight=".5pt">
              <v:stroke joinstyle="miter"/>
            </v:line>
          </w:pict>
        </mc:Fallback>
      </mc:AlternateContent>
    </w:r>
    <w:r w:rsidR="003610B9" w:rsidRPr="00267DF7">
      <w:rPr>
        <w:rFonts w:ascii="Trebuchet MS" w:hAnsi="Trebuchet MS"/>
        <w:noProof/>
        <w:lang w:eastAsia="fr-FR"/>
      </w:rPr>
      <w:drawing>
        <wp:anchor distT="0" distB="0" distL="114300" distR="114300" simplePos="0" relativeHeight="251658240" behindDoc="0" locked="0" layoutInCell="1" allowOverlap="1" wp14:anchorId="72B3584B" wp14:editId="5E582FA9">
          <wp:simplePos x="0" y="0"/>
          <wp:positionH relativeFrom="margin">
            <wp:posOffset>6049645</wp:posOffset>
          </wp:positionH>
          <wp:positionV relativeFrom="paragraph">
            <wp:posOffset>3175</wp:posOffset>
          </wp:positionV>
          <wp:extent cx="254000" cy="341630"/>
          <wp:effectExtent l="0" t="0" r="0" b="127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Image 3"/>
                  <pic:cNvPicPr>
                    <a:picLocks noChangeAspect="1"/>
                  </pic:cNvPicPr>
                </pic:nvPicPr>
                <pic:blipFill rotWithShape="1">
                  <a:blip r:embed="rId1" cstate="print">
                    <a:extLst>
                      <a:ext uri="{28A0092B-C50C-407E-A947-70E740481C1C}">
                        <a14:useLocalDpi xmlns:a14="http://schemas.microsoft.com/office/drawing/2010/main" val="0"/>
                      </a:ext>
                    </a:extLst>
                  </a:blip>
                  <a:srcRect l="8043" t="17471" r="65091" b="17059"/>
                  <a:stretch/>
                </pic:blipFill>
                <pic:spPr bwMode="auto">
                  <a:xfrm>
                    <a:off x="0" y="0"/>
                    <a:ext cx="254000" cy="34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4BF0" w:rsidRPr="006062D9">
      <w:rPr>
        <w:rFonts w:ascii="Trebuchet MS" w:hAnsi="Trebuchet MS"/>
      </w:rPr>
      <w:tab/>
    </w:r>
    <w:sdt>
      <w:sdtPr>
        <w:rPr>
          <w:rFonts w:ascii="Trebuchet MS" w:hAnsi="Trebuchet MS"/>
        </w:rPr>
        <w:id w:val="118508999"/>
        <w:docPartObj>
          <w:docPartGallery w:val="Page Numbers (Bottom of Page)"/>
          <w:docPartUnique/>
        </w:docPartObj>
      </w:sdtPr>
      <w:sdtEndPr>
        <w:rPr>
          <w:rFonts w:ascii="Arial" w:hAnsi="Arial"/>
        </w:rPr>
      </w:sdtEndPr>
      <w:sdtContent>
        <w:sdt>
          <w:sdtPr>
            <w:id w:val="532149820"/>
            <w:docPartObj>
              <w:docPartGallery w:val="Page Numbers (Top of Page)"/>
              <w:docPartUnique/>
            </w:docPartObj>
          </w:sdtPr>
          <w:sdtEndPr/>
          <w:sdtContent>
            <w:r w:rsidR="00524BF0" w:rsidRPr="00D97235">
              <w:t xml:space="preserve">Page </w:t>
            </w:r>
            <w:r w:rsidR="00524BF0" w:rsidRPr="00D97235">
              <w:rPr>
                <w:b/>
                <w:bCs/>
              </w:rPr>
              <w:fldChar w:fldCharType="begin"/>
            </w:r>
            <w:r w:rsidR="00524BF0" w:rsidRPr="00D97235">
              <w:rPr>
                <w:b/>
                <w:bCs/>
              </w:rPr>
              <w:instrText>PAGE</w:instrText>
            </w:r>
            <w:r w:rsidR="00524BF0" w:rsidRPr="00D97235">
              <w:rPr>
                <w:b/>
                <w:bCs/>
              </w:rPr>
              <w:fldChar w:fldCharType="separate"/>
            </w:r>
            <w:r w:rsidR="00D06AE9">
              <w:rPr>
                <w:b/>
                <w:bCs/>
                <w:noProof/>
              </w:rPr>
              <w:t>1</w:t>
            </w:r>
            <w:r w:rsidR="00524BF0" w:rsidRPr="00D97235">
              <w:rPr>
                <w:b/>
                <w:bCs/>
              </w:rPr>
              <w:fldChar w:fldCharType="end"/>
            </w:r>
            <w:r w:rsidR="00524BF0" w:rsidRPr="00D97235">
              <w:t xml:space="preserve"> sur </w:t>
            </w:r>
            <w:r w:rsidR="00524BF0" w:rsidRPr="00D97235">
              <w:rPr>
                <w:b/>
                <w:bCs/>
              </w:rPr>
              <w:fldChar w:fldCharType="begin"/>
            </w:r>
            <w:r w:rsidR="00524BF0" w:rsidRPr="00D97235">
              <w:rPr>
                <w:b/>
                <w:bCs/>
              </w:rPr>
              <w:instrText>NUMPAGES</w:instrText>
            </w:r>
            <w:r w:rsidR="00524BF0" w:rsidRPr="00D97235">
              <w:rPr>
                <w:b/>
                <w:bCs/>
              </w:rPr>
              <w:fldChar w:fldCharType="separate"/>
            </w:r>
            <w:r w:rsidR="00D06AE9">
              <w:rPr>
                <w:b/>
                <w:bCs/>
                <w:noProof/>
              </w:rPr>
              <w:t>3</w:t>
            </w:r>
            <w:r w:rsidR="00524BF0" w:rsidRPr="00D97235">
              <w:rPr>
                <w:b/>
                <w:bCs/>
              </w:rPr>
              <w:fldChar w:fldCharType="end"/>
            </w:r>
          </w:sdtContent>
        </w:sdt>
      </w:sdtContent>
    </w:sdt>
    <w:r w:rsidR="00524BF0" w:rsidRPr="00D97235">
      <w:tab/>
    </w:r>
    <w:r w:rsidR="00524BF0" w:rsidRPr="00D97235">
      <w:fldChar w:fldCharType="begin"/>
    </w:r>
    <w:r w:rsidR="00524BF0" w:rsidRPr="00D97235">
      <w:instrText xml:space="preserve"> TIME \@ "d MMMM yyyy" </w:instrText>
    </w:r>
    <w:r w:rsidR="00524BF0" w:rsidRPr="00D97235">
      <w:fldChar w:fldCharType="separate"/>
    </w:r>
    <w:r w:rsidR="00D06AE9">
      <w:rPr>
        <w:noProof/>
      </w:rPr>
      <w:t>17 décembre 2021</w:t>
    </w:r>
    <w:r w:rsidR="00524BF0" w:rsidRPr="00D97235">
      <w:fldChar w:fldCharType="end"/>
    </w:r>
  </w:p>
  <w:p w14:paraId="3ADB9490" w14:textId="352E428E" w:rsidR="00524BF0" w:rsidRDefault="00A42E08" w:rsidP="00B6172C">
    <w:pPr>
      <w:pStyle w:val="Pieddepage"/>
    </w:pPr>
    <w:r w:rsidRPr="001D3744">
      <w:rPr>
        <w:noProof/>
        <w:lang w:eastAsia="fr-FR"/>
      </w:rPr>
      <mc:AlternateContent>
        <mc:Choice Requires="wps">
          <w:drawing>
            <wp:anchor distT="0" distB="0" distL="114300" distR="114300" simplePos="0" relativeHeight="251665408" behindDoc="0" locked="0" layoutInCell="1" allowOverlap="1" wp14:anchorId="4C80B533" wp14:editId="32D265E4">
              <wp:simplePos x="0" y="0"/>
              <wp:positionH relativeFrom="column">
                <wp:posOffset>-144421</wp:posOffset>
              </wp:positionH>
              <wp:positionV relativeFrom="paragraph">
                <wp:posOffset>63334</wp:posOffset>
              </wp:positionV>
              <wp:extent cx="3045349" cy="622935"/>
              <wp:effectExtent l="0" t="0" r="0" b="5715"/>
              <wp:wrapNone/>
              <wp:docPr id="8" name="Zone de texte 8"/>
              <wp:cNvGraphicFramePr/>
              <a:graphic xmlns:a="http://schemas.openxmlformats.org/drawingml/2006/main">
                <a:graphicData uri="http://schemas.microsoft.com/office/word/2010/wordprocessingShape">
                  <wps:wsp>
                    <wps:cNvSpPr txBox="1"/>
                    <wps:spPr>
                      <a:xfrm>
                        <a:off x="0" y="0"/>
                        <a:ext cx="3045349" cy="622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E66376" w14:textId="210EB4CB" w:rsidR="001D3744" w:rsidRPr="00B6172C" w:rsidRDefault="001D3744" w:rsidP="00B6172C">
                          <w:pPr>
                            <w:pStyle w:val="pieddepageadresse"/>
                            <w:rPr>
                              <w:color w:val="FF0000"/>
                            </w:rPr>
                          </w:pPr>
                          <w:r w:rsidRPr="00B6172C">
                            <w:t>Centre de gestion de la Fonction Publique Territoriale du Nord</w:t>
                          </w:r>
                          <w:r w:rsidR="00D97235" w:rsidRPr="00B6172C">
                            <w:br/>
                          </w:r>
                          <w:r w:rsidRPr="00B6172C">
                            <w:t xml:space="preserve">14, rue Jeanne Maillotte - </w:t>
                          </w:r>
                          <w:r w:rsidRPr="00B6172C">
                            <w:rPr>
                              <w:rFonts w:eastAsia="Times New Roman"/>
                              <w:color w:val="000000"/>
                              <w:lang w:eastAsia="fr-FR"/>
                            </w:rPr>
                            <w:t>CS 71222</w:t>
                          </w:r>
                          <w:r w:rsidRPr="00B6172C">
                            <w:rPr>
                              <w:rFonts w:eastAsia="Times New Roman"/>
                              <w:lang w:eastAsia="fr-FR"/>
                            </w:rPr>
                            <w:t xml:space="preserve"> </w:t>
                          </w:r>
                          <w:r w:rsidRPr="00B6172C">
                            <w:t>- 59013 Lille Cedex</w:t>
                          </w:r>
                          <w:r w:rsidR="00D97235" w:rsidRPr="00B6172C">
                            <w:br/>
                          </w:r>
                          <w:r w:rsidRPr="00B6172C">
                            <w:t xml:space="preserve">03 59 56 88 00 - </w:t>
                          </w:r>
                          <w:r w:rsidRPr="00B6172C">
                            <w:rPr>
                              <w:color w:val="4472C4" w:themeColor="accent5"/>
                            </w:rPr>
                            <w:t>www.cdg59.fr</w:t>
                          </w:r>
                        </w:p>
                        <w:p w14:paraId="3E827FA2" w14:textId="77777777" w:rsidR="001D3744" w:rsidRPr="00B6172C" w:rsidRDefault="001D3744" w:rsidP="00B6172C">
                          <w:pPr>
                            <w:pStyle w:val="pieddepageadresse"/>
                          </w:pPr>
                        </w:p>
                        <w:p w14:paraId="2F67348E" w14:textId="77777777" w:rsidR="001D3744" w:rsidRPr="00B6172C" w:rsidRDefault="001D3744" w:rsidP="00B6172C">
                          <w:pPr>
                            <w:pStyle w:val="pieddepageadresse"/>
                          </w:pPr>
                        </w:p>
                        <w:p w14:paraId="25580919" w14:textId="77777777" w:rsidR="001D3744" w:rsidRPr="00B6172C" w:rsidRDefault="001D3744" w:rsidP="00B6172C">
                          <w:pPr>
                            <w:pStyle w:val="pieddepageadress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0B533" id="_x0000_t202" coordsize="21600,21600" o:spt="202" path="m,l,21600r21600,l21600,xe">
              <v:stroke joinstyle="miter"/>
              <v:path gradientshapeok="t" o:connecttype="rect"/>
            </v:shapetype>
            <v:shape id="Zone de texte 8" o:spid="_x0000_s1027" type="#_x0000_t202" style="position:absolute;left:0;text-align:left;margin-left:-11.35pt;margin-top:5pt;width:239.8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" filled="f" stroked="f">
              <v:textbox>
                <w:txbxContent>
                  <w:p w14:paraId="41E66376" w14:textId="210EB4CB" w:rsidR="001D3744" w:rsidRPr="00B6172C" w:rsidRDefault="001D3744" w:rsidP="00B6172C">
                    <w:pPr>
                      <w:pStyle w:val="pieddepageadresse"/>
                      <w:rPr>
                        <w:color w:val="FF0000"/>
                      </w:rPr>
                    </w:pPr>
                    <w:r w:rsidRPr="00B6172C">
                      <w:t>Centre de gestion de la Fonction Publique Territoriale du Nord</w:t>
                    </w:r>
                    <w:r w:rsidR="00D97235" w:rsidRPr="00B6172C">
                      <w:br/>
                    </w:r>
                    <w:r w:rsidRPr="00B6172C">
                      <w:t xml:space="preserve">14, rue Jeanne Maillotte - </w:t>
                    </w:r>
                    <w:r w:rsidRPr="00B6172C">
                      <w:rPr>
                        <w:rFonts w:eastAsia="Times New Roman"/>
                        <w:color w:val="000000"/>
                        <w:lang w:eastAsia="fr-FR"/>
                      </w:rPr>
                      <w:t>CS 71222</w:t>
                    </w:r>
                    <w:r w:rsidRPr="00B6172C">
                      <w:rPr>
                        <w:rFonts w:eastAsia="Times New Roman"/>
                        <w:lang w:eastAsia="fr-FR"/>
                      </w:rPr>
                      <w:t xml:space="preserve"> </w:t>
                    </w:r>
                    <w:r w:rsidRPr="00B6172C">
                      <w:t>- 59013 Lille Cedex</w:t>
                    </w:r>
                    <w:r w:rsidR="00D97235" w:rsidRPr="00B6172C">
                      <w:br/>
                    </w:r>
                    <w:r w:rsidRPr="00B6172C">
                      <w:t xml:space="preserve">03 59 56 88 00 - </w:t>
                    </w:r>
                    <w:r w:rsidRPr="00B6172C">
                      <w:rPr>
                        <w:color w:val="4472C4" w:themeColor="accent5"/>
                      </w:rPr>
                      <w:t>www.cdg59.fr</w:t>
                    </w:r>
                  </w:p>
                  <w:p w14:paraId="3E827FA2" w14:textId="77777777" w:rsidR="001D3744" w:rsidRPr="00B6172C" w:rsidRDefault="001D3744" w:rsidP="00B6172C">
                    <w:pPr>
                      <w:pStyle w:val="pieddepageadresse"/>
                    </w:pPr>
                  </w:p>
                  <w:p w14:paraId="2F67348E" w14:textId="77777777" w:rsidR="001D3744" w:rsidRPr="00B6172C" w:rsidRDefault="001D3744" w:rsidP="00B6172C">
                    <w:pPr>
                      <w:pStyle w:val="pieddepageadresse"/>
                    </w:pPr>
                  </w:p>
                  <w:p w14:paraId="25580919" w14:textId="77777777" w:rsidR="001D3744" w:rsidRPr="00B6172C" w:rsidRDefault="001D3744" w:rsidP="00B6172C">
                    <w:pPr>
                      <w:pStyle w:val="pieddepageadresse"/>
                    </w:pPr>
                  </w:p>
                </w:txbxContent>
              </v:textbox>
            </v:shape>
          </w:pict>
        </mc:Fallback>
      </mc:AlternateContent>
    </w:r>
    <w:r w:rsidR="00D97235" w:rsidRPr="001D3744">
      <w:rPr>
        <w:noProof/>
        <w:lang w:eastAsia="fr-FR"/>
      </w:rPr>
      <w:drawing>
        <wp:anchor distT="0" distB="0" distL="114300" distR="114300" simplePos="0" relativeHeight="251664384" behindDoc="0" locked="0" layoutInCell="1" allowOverlap="1" wp14:anchorId="0B94D8AB" wp14:editId="732FEFF3">
          <wp:simplePos x="0" y="0"/>
          <wp:positionH relativeFrom="column">
            <wp:posOffset>-666115</wp:posOffset>
          </wp:positionH>
          <wp:positionV relativeFrom="paragraph">
            <wp:posOffset>102180</wp:posOffset>
          </wp:positionV>
          <wp:extent cx="493962" cy="357809"/>
          <wp:effectExtent l="0" t="0" r="1905" b="4445"/>
          <wp:wrapTight wrapText="bothSides">
            <wp:wrapPolygon edited="0">
              <wp:start x="0" y="0"/>
              <wp:lineTo x="0" y="20718"/>
              <wp:lineTo x="20849" y="20718"/>
              <wp:lineTo x="20849" y="0"/>
              <wp:lineTo x="0" y="0"/>
            </wp:wrapPolygon>
          </wp:wrapTight>
          <wp:docPr id="13" name="Image 2" descr="logo CDG59-2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CDG59-200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962" cy="357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670BA" w14:textId="77777777" w:rsidR="00D97235" w:rsidRDefault="00D97235" w:rsidP="00B617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6B29E" w14:textId="77777777" w:rsidR="005866A8" w:rsidRDefault="005866A8" w:rsidP="00B6172C">
      <w:r>
        <w:separator/>
      </w:r>
    </w:p>
  </w:footnote>
  <w:footnote w:type="continuationSeparator" w:id="0">
    <w:p w14:paraId="4E358590" w14:textId="77777777" w:rsidR="005866A8" w:rsidRDefault="005866A8" w:rsidP="00B6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B597" w14:textId="6F2AFDC1" w:rsidR="00524BF0" w:rsidRDefault="00B6172C" w:rsidP="00B6172C">
    <w:pPr>
      <w:pStyle w:val="En-tte"/>
    </w:pPr>
    <w:r w:rsidRPr="00577A8E">
      <w:rPr>
        <w:noProof/>
        <w:lang w:eastAsia="fr-FR"/>
      </w:rPr>
      <mc:AlternateContent>
        <mc:Choice Requires="wps">
          <w:drawing>
            <wp:anchor distT="0" distB="0" distL="114300" distR="114300" simplePos="0" relativeHeight="251661312" behindDoc="0" locked="0" layoutInCell="1" allowOverlap="1" wp14:anchorId="53928390" wp14:editId="716489A4">
              <wp:simplePos x="0" y="0"/>
              <wp:positionH relativeFrom="column">
                <wp:posOffset>1077595</wp:posOffset>
              </wp:positionH>
              <wp:positionV relativeFrom="paragraph">
                <wp:posOffset>-7620</wp:posOffset>
              </wp:positionV>
              <wp:extent cx="5187950" cy="590550"/>
              <wp:effectExtent l="0" t="0" r="0" b="0"/>
              <wp:wrapNone/>
              <wp:docPr id="15" name="Rectangle 15"/>
              <wp:cNvGraphicFramePr/>
              <a:graphic xmlns:a="http://schemas.openxmlformats.org/drawingml/2006/main">
                <a:graphicData uri="http://schemas.microsoft.com/office/word/2010/wordprocessingShape">
                  <wps:wsp>
                    <wps:cNvSpPr/>
                    <wps:spPr>
                      <a:xfrm>
                        <a:off x="0" y="0"/>
                        <a:ext cx="5187950"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B3F02" w14:textId="7A40C548" w:rsidR="00577A8E" w:rsidRPr="00B6172C" w:rsidRDefault="003C22A5" w:rsidP="00B6172C">
                          <w:pPr>
                            <w:pStyle w:val="Typedefichehautdepage"/>
                            <w:rPr>
                              <w:i/>
                            </w:rPr>
                          </w:pPr>
                          <w:r>
                            <w:t>Protection sociale Complémentaire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28390" id="Rectangle 15" o:spid="_x0000_s1026" style="position:absolute;left:0;text-align:left;margin-left:84.85pt;margin-top:-.6pt;width:408.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" filled="f" stroked="f" strokeweight="1pt">
              <v:textbox>
                <w:txbxContent>
                  <w:p w14:paraId="2C4B3F02" w14:textId="7A40C548" w:rsidR="00577A8E" w:rsidRPr="00B6172C" w:rsidRDefault="003C22A5" w:rsidP="00B6172C">
                    <w:pPr>
                      <w:pStyle w:val="Typedefichehautdepage"/>
                      <w:rPr>
                        <w:i/>
                      </w:rPr>
                    </w:pPr>
                    <w:r>
                      <w:t>Protection sociale Complémentaire</w:t>
                    </w:r>
                  </w:p>
                </w:txbxContent>
              </v:textbox>
            </v:rect>
          </w:pict>
        </mc:Fallback>
      </mc:AlternateContent>
    </w:r>
    <w:r w:rsidR="0094083F" w:rsidRPr="00577A8E">
      <w:rPr>
        <w:noProof/>
        <w:lang w:eastAsia="fr-FR"/>
      </w:rPr>
      <mc:AlternateContent>
        <mc:Choice Requires="wps">
          <w:drawing>
            <wp:anchor distT="0" distB="0" distL="114300" distR="114300" simplePos="0" relativeHeight="251662336" behindDoc="0" locked="0" layoutInCell="1" allowOverlap="1" wp14:anchorId="1C826E7C" wp14:editId="0E43E1DA">
              <wp:simplePos x="0" y="0"/>
              <wp:positionH relativeFrom="column">
                <wp:posOffset>1084911</wp:posOffset>
              </wp:positionH>
              <wp:positionV relativeFrom="paragraph">
                <wp:posOffset>480695</wp:posOffset>
              </wp:positionV>
              <wp:extent cx="5076825" cy="0"/>
              <wp:effectExtent l="0" t="0" r="28575" b="19050"/>
              <wp:wrapNone/>
              <wp:docPr id="25" name="Connecteur droit 25"/>
              <wp:cNvGraphicFramePr/>
              <a:graphic xmlns:a="http://schemas.openxmlformats.org/drawingml/2006/main">
                <a:graphicData uri="http://schemas.microsoft.com/office/word/2010/wordprocessingShape">
                  <wps:wsp>
                    <wps:cNvCnPr/>
                    <wps:spPr>
                      <a:xfrm>
                        <a:off x="0" y="0"/>
                        <a:ext cx="5076825" cy="0"/>
                      </a:xfrm>
                      <a:prstGeom prst="line">
                        <a:avLst/>
                      </a:prstGeom>
                      <a:ln>
                        <a:solidFill>
                          <a:srgbClr val="0070C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4534D" id="Connecteur droit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37.85pt" to="485.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" strokecolor="#0070c0" strokeweight="1pt">
              <v:stroke joinstyle="miter"/>
            </v:line>
          </w:pict>
        </mc:Fallback>
      </mc:AlternateContent>
    </w:r>
    <w:r w:rsidR="00577A8E" w:rsidRPr="00267DF7">
      <w:rPr>
        <w:rFonts w:ascii="Trebuchet MS" w:hAnsi="Trebuchet MS"/>
        <w:noProof/>
        <w:lang w:eastAsia="fr-FR"/>
      </w:rPr>
      <w:drawing>
        <wp:anchor distT="0" distB="0" distL="114300" distR="114300" simplePos="0" relativeHeight="251659264" behindDoc="0" locked="0" layoutInCell="1" allowOverlap="1" wp14:anchorId="5ED1F843" wp14:editId="3B1BD019">
          <wp:simplePos x="0" y="0"/>
          <wp:positionH relativeFrom="column">
            <wp:posOffset>-509270</wp:posOffset>
          </wp:positionH>
          <wp:positionV relativeFrom="paragraph">
            <wp:posOffset>-124460</wp:posOffset>
          </wp:positionV>
          <wp:extent cx="1002608" cy="720000"/>
          <wp:effectExtent l="0" t="0" r="7620"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Image 4"/>
                  <pic:cNvPicPr>
                    <a:picLocks noChangeAspect="1"/>
                  </pic:cNvPicPr>
                </pic:nvPicPr>
                <pic:blipFill rotWithShape="1">
                  <a:blip r:embed="rId1" cstate="print">
                    <a:extLst>
                      <a:ext uri="{28A0092B-C50C-407E-A947-70E740481C1C}">
                        <a14:useLocalDpi xmlns:a14="http://schemas.microsoft.com/office/drawing/2010/main" val="0"/>
                      </a:ext>
                    </a:extLst>
                  </a:blip>
                  <a:srcRect t="22913" b="26317"/>
                  <a:stretch/>
                </pic:blipFill>
                <pic:spPr bwMode="auto">
                  <a:xfrm>
                    <a:off x="0" y="0"/>
                    <a:ext cx="1002608"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AEB"/>
    <w:multiLevelType w:val="hybridMultilevel"/>
    <w:tmpl w:val="93440670"/>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F1366"/>
    <w:multiLevelType w:val="hybridMultilevel"/>
    <w:tmpl w:val="88DA8996"/>
    <w:lvl w:ilvl="0" w:tplc="D5F010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63911"/>
    <w:multiLevelType w:val="multilevel"/>
    <w:tmpl w:val="1A2C8284"/>
    <w:lvl w:ilvl="0">
      <w:numFmt w:val="bullet"/>
      <w:lvlText w:val="-"/>
      <w:lvlJc w:val="left"/>
      <w:pPr>
        <w:tabs>
          <w:tab w:val="num" w:pos="720"/>
        </w:tabs>
        <w:ind w:left="720" w:hanging="360"/>
      </w:pPr>
      <w:rPr>
        <w:rFonts w:ascii="Trebuchet MS" w:eastAsia="Times New Roman" w:hAnsi="Trebuchet MS" w:cs="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A42BF"/>
    <w:multiLevelType w:val="hybridMultilevel"/>
    <w:tmpl w:val="D0500F1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1650AFE"/>
    <w:multiLevelType w:val="hybridMultilevel"/>
    <w:tmpl w:val="D99CE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81ACD"/>
    <w:multiLevelType w:val="hybridMultilevel"/>
    <w:tmpl w:val="B7C8FAF6"/>
    <w:lvl w:ilvl="0" w:tplc="238C0BE0">
      <w:start w:val="1"/>
      <w:numFmt w:val="bullet"/>
      <w:lvlText w:val="•"/>
      <w:lvlJc w:val="left"/>
      <w:pPr>
        <w:tabs>
          <w:tab w:val="num" w:pos="720"/>
        </w:tabs>
        <w:ind w:left="720" w:hanging="360"/>
      </w:pPr>
      <w:rPr>
        <w:rFonts w:ascii="Arial" w:hAnsi="Arial" w:hint="default"/>
      </w:rPr>
    </w:lvl>
    <w:lvl w:ilvl="1" w:tplc="CD3E7AE6" w:tentative="1">
      <w:start w:val="1"/>
      <w:numFmt w:val="bullet"/>
      <w:lvlText w:val="•"/>
      <w:lvlJc w:val="left"/>
      <w:pPr>
        <w:tabs>
          <w:tab w:val="num" w:pos="1440"/>
        </w:tabs>
        <w:ind w:left="1440" w:hanging="360"/>
      </w:pPr>
      <w:rPr>
        <w:rFonts w:ascii="Arial" w:hAnsi="Arial" w:hint="default"/>
      </w:rPr>
    </w:lvl>
    <w:lvl w:ilvl="2" w:tplc="38A4546C" w:tentative="1">
      <w:start w:val="1"/>
      <w:numFmt w:val="bullet"/>
      <w:lvlText w:val="•"/>
      <w:lvlJc w:val="left"/>
      <w:pPr>
        <w:tabs>
          <w:tab w:val="num" w:pos="2160"/>
        </w:tabs>
        <w:ind w:left="2160" w:hanging="360"/>
      </w:pPr>
      <w:rPr>
        <w:rFonts w:ascii="Arial" w:hAnsi="Arial" w:hint="default"/>
      </w:rPr>
    </w:lvl>
    <w:lvl w:ilvl="3" w:tplc="146A7D88" w:tentative="1">
      <w:start w:val="1"/>
      <w:numFmt w:val="bullet"/>
      <w:lvlText w:val="•"/>
      <w:lvlJc w:val="left"/>
      <w:pPr>
        <w:tabs>
          <w:tab w:val="num" w:pos="2880"/>
        </w:tabs>
        <w:ind w:left="2880" w:hanging="360"/>
      </w:pPr>
      <w:rPr>
        <w:rFonts w:ascii="Arial" w:hAnsi="Arial" w:hint="default"/>
      </w:rPr>
    </w:lvl>
    <w:lvl w:ilvl="4" w:tplc="4C00F442" w:tentative="1">
      <w:start w:val="1"/>
      <w:numFmt w:val="bullet"/>
      <w:lvlText w:val="•"/>
      <w:lvlJc w:val="left"/>
      <w:pPr>
        <w:tabs>
          <w:tab w:val="num" w:pos="3600"/>
        </w:tabs>
        <w:ind w:left="3600" w:hanging="360"/>
      </w:pPr>
      <w:rPr>
        <w:rFonts w:ascii="Arial" w:hAnsi="Arial" w:hint="default"/>
      </w:rPr>
    </w:lvl>
    <w:lvl w:ilvl="5" w:tplc="351E1D02" w:tentative="1">
      <w:start w:val="1"/>
      <w:numFmt w:val="bullet"/>
      <w:lvlText w:val="•"/>
      <w:lvlJc w:val="left"/>
      <w:pPr>
        <w:tabs>
          <w:tab w:val="num" w:pos="4320"/>
        </w:tabs>
        <w:ind w:left="4320" w:hanging="360"/>
      </w:pPr>
      <w:rPr>
        <w:rFonts w:ascii="Arial" w:hAnsi="Arial" w:hint="default"/>
      </w:rPr>
    </w:lvl>
    <w:lvl w:ilvl="6" w:tplc="31CCEAAC" w:tentative="1">
      <w:start w:val="1"/>
      <w:numFmt w:val="bullet"/>
      <w:lvlText w:val="•"/>
      <w:lvlJc w:val="left"/>
      <w:pPr>
        <w:tabs>
          <w:tab w:val="num" w:pos="5040"/>
        </w:tabs>
        <w:ind w:left="5040" w:hanging="360"/>
      </w:pPr>
      <w:rPr>
        <w:rFonts w:ascii="Arial" w:hAnsi="Arial" w:hint="default"/>
      </w:rPr>
    </w:lvl>
    <w:lvl w:ilvl="7" w:tplc="5CCC73F0" w:tentative="1">
      <w:start w:val="1"/>
      <w:numFmt w:val="bullet"/>
      <w:lvlText w:val="•"/>
      <w:lvlJc w:val="left"/>
      <w:pPr>
        <w:tabs>
          <w:tab w:val="num" w:pos="5760"/>
        </w:tabs>
        <w:ind w:left="5760" w:hanging="360"/>
      </w:pPr>
      <w:rPr>
        <w:rFonts w:ascii="Arial" w:hAnsi="Arial" w:hint="default"/>
      </w:rPr>
    </w:lvl>
    <w:lvl w:ilvl="8" w:tplc="431A90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F548E4"/>
    <w:multiLevelType w:val="hybridMultilevel"/>
    <w:tmpl w:val="1A2C4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2195"/>
    <w:multiLevelType w:val="hybridMultilevel"/>
    <w:tmpl w:val="A87C4E1A"/>
    <w:lvl w:ilvl="0" w:tplc="3F3C52F2">
      <w:start w:val="2"/>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25BD7F46"/>
    <w:multiLevelType w:val="hybridMultilevel"/>
    <w:tmpl w:val="F5905AB4"/>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E60FCD"/>
    <w:multiLevelType w:val="hybridMultilevel"/>
    <w:tmpl w:val="38545852"/>
    <w:lvl w:ilvl="0" w:tplc="37DAF4B4">
      <w:start w:val="1"/>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44179"/>
    <w:multiLevelType w:val="multilevel"/>
    <w:tmpl w:val="776CE05C"/>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FD5387C"/>
    <w:multiLevelType w:val="hybridMultilevel"/>
    <w:tmpl w:val="597C70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A059D1"/>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EBB3A3E"/>
    <w:multiLevelType w:val="multilevel"/>
    <w:tmpl w:val="339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4089A"/>
    <w:multiLevelType w:val="hybridMultilevel"/>
    <w:tmpl w:val="43DA4DC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415C2D86"/>
    <w:multiLevelType w:val="hybridMultilevel"/>
    <w:tmpl w:val="783E7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0A3566"/>
    <w:multiLevelType w:val="hybridMultilevel"/>
    <w:tmpl w:val="AF62E812"/>
    <w:lvl w:ilvl="0" w:tplc="EA845E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7555EB"/>
    <w:multiLevelType w:val="hybridMultilevel"/>
    <w:tmpl w:val="804678B4"/>
    <w:lvl w:ilvl="0" w:tplc="A392979A">
      <w:start w:val="1"/>
      <w:numFmt w:val="decimal"/>
      <w:lvlText w:val="%1-"/>
      <w:lvlJc w:val="left"/>
      <w:pPr>
        <w:ind w:left="720" w:hanging="360"/>
      </w:pPr>
      <w:rPr>
        <w:rFonts w:hint="default"/>
        <w:b w:val="0"/>
        <w:color w:val="0070C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975A43"/>
    <w:multiLevelType w:val="hybridMultilevel"/>
    <w:tmpl w:val="14542C0A"/>
    <w:lvl w:ilvl="0" w:tplc="22CC3CF4">
      <w:numFmt w:val="bullet"/>
      <w:lvlText w:val="-"/>
      <w:lvlJc w:val="left"/>
      <w:pPr>
        <w:ind w:left="720" w:hanging="360"/>
      </w:pPr>
      <w:rPr>
        <w:rFonts w:ascii="Trebuchet MS" w:eastAsia="Times New Roman" w:hAnsi="Trebuchet MS"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975B0D"/>
    <w:multiLevelType w:val="multilevel"/>
    <w:tmpl w:val="E84E814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60D348FB"/>
    <w:multiLevelType w:val="hybridMultilevel"/>
    <w:tmpl w:val="F3E089FE"/>
    <w:lvl w:ilvl="0" w:tplc="479A59E8">
      <w:start w:val="1"/>
      <w:numFmt w:val="bullet"/>
      <w:lvlText w:val="•"/>
      <w:lvlJc w:val="left"/>
      <w:pPr>
        <w:tabs>
          <w:tab w:val="num" w:pos="720"/>
        </w:tabs>
        <w:ind w:left="720" w:hanging="360"/>
      </w:pPr>
      <w:rPr>
        <w:rFonts w:ascii="Arial" w:hAnsi="Arial" w:hint="default"/>
      </w:rPr>
    </w:lvl>
    <w:lvl w:ilvl="1" w:tplc="91CE2746" w:tentative="1">
      <w:start w:val="1"/>
      <w:numFmt w:val="bullet"/>
      <w:lvlText w:val="•"/>
      <w:lvlJc w:val="left"/>
      <w:pPr>
        <w:tabs>
          <w:tab w:val="num" w:pos="1440"/>
        </w:tabs>
        <w:ind w:left="1440" w:hanging="360"/>
      </w:pPr>
      <w:rPr>
        <w:rFonts w:ascii="Arial" w:hAnsi="Arial" w:hint="default"/>
      </w:rPr>
    </w:lvl>
    <w:lvl w:ilvl="2" w:tplc="EBA6D9B4" w:tentative="1">
      <w:start w:val="1"/>
      <w:numFmt w:val="bullet"/>
      <w:lvlText w:val="•"/>
      <w:lvlJc w:val="left"/>
      <w:pPr>
        <w:tabs>
          <w:tab w:val="num" w:pos="2160"/>
        </w:tabs>
        <w:ind w:left="2160" w:hanging="360"/>
      </w:pPr>
      <w:rPr>
        <w:rFonts w:ascii="Arial" w:hAnsi="Arial" w:hint="default"/>
      </w:rPr>
    </w:lvl>
    <w:lvl w:ilvl="3" w:tplc="70B2B750" w:tentative="1">
      <w:start w:val="1"/>
      <w:numFmt w:val="bullet"/>
      <w:lvlText w:val="•"/>
      <w:lvlJc w:val="left"/>
      <w:pPr>
        <w:tabs>
          <w:tab w:val="num" w:pos="2880"/>
        </w:tabs>
        <w:ind w:left="2880" w:hanging="360"/>
      </w:pPr>
      <w:rPr>
        <w:rFonts w:ascii="Arial" w:hAnsi="Arial" w:hint="default"/>
      </w:rPr>
    </w:lvl>
    <w:lvl w:ilvl="4" w:tplc="0E82D9B0" w:tentative="1">
      <w:start w:val="1"/>
      <w:numFmt w:val="bullet"/>
      <w:lvlText w:val="•"/>
      <w:lvlJc w:val="left"/>
      <w:pPr>
        <w:tabs>
          <w:tab w:val="num" w:pos="3600"/>
        </w:tabs>
        <w:ind w:left="3600" w:hanging="360"/>
      </w:pPr>
      <w:rPr>
        <w:rFonts w:ascii="Arial" w:hAnsi="Arial" w:hint="default"/>
      </w:rPr>
    </w:lvl>
    <w:lvl w:ilvl="5" w:tplc="F900FDFA" w:tentative="1">
      <w:start w:val="1"/>
      <w:numFmt w:val="bullet"/>
      <w:lvlText w:val="•"/>
      <w:lvlJc w:val="left"/>
      <w:pPr>
        <w:tabs>
          <w:tab w:val="num" w:pos="4320"/>
        </w:tabs>
        <w:ind w:left="4320" w:hanging="360"/>
      </w:pPr>
      <w:rPr>
        <w:rFonts w:ascii="Arial" w:hAnsi="Arial" w:hint="default"/>
      </w:rPr>
    </w:lvl>
    <w:lvl w:ilvl="6" w:tplc="E7703072" w:tentative="1">
      <w:start w:val="1"/>
      <w:numFmt w:val="bullet"/>
      <w:lvlText w:val="•"/>
      <w:lvlJc w:val="left"/>
      <w:pPr>
        <w:tabs>
          <w:tab w:val="num" w:pos="5040"/>
        </w:tabs>
        <w:ind w:left="5040" w:hanging="360"/>
      </w:pPr>
      <w:rPr>
        <w:rFonts w:ascii="Arial" w:hAnsi="Arial" w:hint="default"/>
      </w:rPr>
    </w:lvl>
    <w:lvl w:ilvl="7" w:tplc="075A6494" w:tentative="1">
      <w:start w:val="1"/>
      <w:numFmt w:val="bullet"/>
      <w:lvlText w:val="•"/>
      <w:lvlJc w:val="left"/>
      <w:pPr>
        <w:tabs>
          <w:tab w:val="num" w:pos="5760"/>
        </w:tabs>
        <w:ind w:left="5760" w:hanging="360"/>
      </w:pPr>
      <w:rPr>
        <w:rFonts w:ascii="Arial" w:hAnsi="Arial" w:hint="default"/>
      </w:rPr>
    </w:lvl>
    <w:lvl w:ilvl="8" w:tplc="DE8419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8C6922"/>
    <w:multiLevelType w:val="hybridMultilevel"/>
    <w:tmpl w:val="F3664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62398A"/>
    <w:multiLevelType w:val="hybridMultilevel"/>
    <w:tmpl w:val="E94484E4"/>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7E70C6"/>
    <w:multiLevelType w:val="hybridMultilevel"/>
    <w:tmpl w:val="767CEA9C"/>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CF01C5"/>
    <w:multiLevelType w:val="hybridMultilevel"/>
    <w:tmpl w:val="BAB4FF26"/>
    <w:lvl w:ilvl="0" w:tplc="82C2AF5A">
      <w:numFmt w:val="bullet"/>
      <w:lvlText w:val="-"/>
      <w:lvlJc w:val="left"/>
      <w:pPr>
        <w:ind w:left="1065" w:hanging="360"/>
      </w:pPr>
      <w:rPr>
        <w:rFonts w:ascii="Arial" w:eastAsia="Cambria"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15:restartNumberingAfterBreak="0">
    <w:nsid w:val="75592BFA"/>
    <w:multiLevelType w:val="hybridMultilevel"/>
    <w:tmpl w:val="BC70BD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7788746D"/>
    <w:multiLevelType w:val="hybridMultilevel"/>
    <w:tmpl w:val="9D287ACA"/>
    <w:lvl w:ilvl="0" w:tplc="E4BA3958">
      <w:start w:val="2"/>
      <w:numFmt w:val="bullet"/>
      <w:lvlText w:val="-"/>
      <w:lvlJc w:val="left"/>
      <w:pPr>
        <w:tabs>
          <w:tab w:val="num" w:pos="720"/>
        </w:tabs>
        <w:ind w:left="720" w:hanging="360"/>
      </w:pPr>
      <w:rPr>
        <w:rFonts w:ascii="Trebuchet MS" w:hAnsi="Trebuchet MS" w:cstheme="minorBidi" w:hint="default"/>
      </w:rPr>
    </w:lvl>
    <w:lvl w:ilvl="1" w:tplc="CD3E7AE6" w:tentative="1">
      <w:start w:val="1"/>
      <w:numFmt w:val="bullet"/>
      <w:lvlText w:val="•"/>
      <w:lvlJc w:val="left"/>
      <w:pPr>
        <w:tabs>
          <w:tab w:val="num" w:pos="1440"/>
        </w:tabs>
        <w:ind w:left="1440" w:hanging="360"/>
      </w:pPr>
      <w:rPr>
        <w:rFonts w:ascii="Arial" w:hAnsi="Arial" w:hint="default"/>
      </w:rPr>
    </w:lvl>
    <w:lvl w:ilvl="2" w:tplc="38A4546C" w:tentative="1">
      <w:start w:val="1"/>
      <w:numFmt w:val="bullet"/>
      <w:lvlText w:val="•"/>
      <w:lvlJc w:val="left"/>
      <w:pPr>
        <w:tabs>
          <w:tab w:val="num" w:pos="2160"/>
        </w:tabs>
        <w:ind w:left="2160" w:hanging="360"/>
      </w:pPr>
      <w:rPr>
        <w:rFonts w:ascii="Arial" w:hAnsi="Arial" w:hint="default"/>
      </w:rPr>
    </w:lvl>
    <w:lvl w:ilvl="3" w:tplc="146A7D88" w:tentative="1">
      <w:start w:val="1"/>
      <w:numFmt w:val="bullet"/>
      <w:lvlText w:val="•"/>
      <w:lvlJc w:val="left"/>
      <w:pPr>
        <w:tabs>
          <w:tab w:val="num" w:pos="2880"/>
        </w:tabs>
        <w:ind w:left="2880" w:hanging="360"/>
      </w:pPr>
      <w:rPr>
        <w:rFonts w:ascii="Arial" w:hAnsi="Arial" w:hint="default"/>
      </w:rPr>
    </w:lvl>
    <w:lvl w:ilvl="4" w:tplc="4C00F442" w:tentative="1">
      <w:start w:val="1"/>
      <w:numFmt w:val="bullet"/>
      <w:lvlText w:val="•"/>
      <w:lvlJc w:val="left"/>
      <w:pPr>
        <w:tabs>
          <w:tab w:val="num" w:pos="3600"/>
        </w:tabs>
        <w:ind w:left="3600" w:hanging="360"/>
      </w:pPr>
      <w:rPr>
        <w:rFonts w:ascii="Arial" w:hAnsi="Arial" w:hint="default"/>
      </w:rPr>
    </w:lvl>
    <w:lvl w:ilvl="5" w:tplc="351E1D02" w:tentative="1">
      <w:start w:val="1"/>
      <w:numFmt w:val="bullet"/>
      <w:lvlText w:val="•"/>
      <w:lvlJc w:val="left"/>
      <w:pPr>
        <w:tabs>
          <w:tab w:val="num" w:pos="4320"/>
        </w:tabs>
        <w:ind w:left="4320" w:hanging="360"/>
      </w:pPr>
      <w:rPr>
        <w:rFonts w:ascii="Arial" w:hAnsi="Arial" w:hint="default"/>
      </w:rPr>
    </w:lvl>
    <w:lvl w:ilvl="6" w:tplc="31CCEAAC" w:tentative="1">
      <w:start w:val="1"/>
      <w:numFmt w:val="bullet"/>
      <w:lvlText w:val="•"/>
      <w:lvlJc w:val="left"/>
      <w:pPr>
        <w:tabs>
          <w:tab w:val="num" w:pos="5040"/>
        </w:tabs>
        <w:ind w:left="5040" w:hanging="360"/>
      </w:pPr>
      <w:rPr>
        <w:rFonts w:ascii="Arial" w:hAnsi="Arial" w:hint="default"/>
      </w:rPr>
    </w:lvl>
    <w:lvl w:ilvl="7" w:tplc="5CCC73F0" w:tentative="1">
      <w:start w:val="1"/>
      <w:numFmt w:val="bullet"/>
      <w:lvlText w:val="•"/>
      <w:lvlJc w:val="left"/>
      <w:pPr>
        <w:tabs>
          <w:tab w:val="num" w:pos="5760"/>
        </w:tabs>
        <w:ind w:left="5760" w:hanging="360"/>
      </w:pPr>
      <w:rPr>
        <w:rFonts w:ascii="Arial" w:hAnsi="Arial" w:hint="default"/>
      </w:rPr>
    </w:lvl>
    <w:lvl w:ilvl="8" w:tplc="431A90E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18"/>
  </w:num>
  <w:num w:numId="4">
    <w:abstractNumId w:val="13"/>
  </w:num>
  <w:num w:numId="5">
    <w:abstractNumId w:val="2"/>
  </w:num>
  <w:num w:numId="6">
    <w:abstractNumId w:val="1"/>
  </w:num>
  <w:num w:numId="7">
    <w:abstractNumId w:val="15"/>
  </w:num>
  <w:num w:numId="8">
    <w:abstractNumId w:val="17"/>
  </w:num>
  <w:num w:numId="9">
    <w:abstractNumId w:val="16"/>
  </w:num>
  <w:num w:numId="10">
    <w:abstractNumId w:val="10"/>
  </w:num>
  <w:num w:numId="11">
    <w:abstractNumId w:val="19"/>
  </w:num>
  <w:num w:numId="12">
    <w:abstractNumId w:val="12"/>
  </w:num>
  <w:num w:numId="13">
    <w:abstractNumId w:val="25"/>
  </w:num>
  <w:num w:numId="14">
    <w:abstractNumId w:val="24"/>
  </w:num>
  <w:num w:numId="15">
    <w:abstractNumId w:val="6"/>
  </w:num>
  <w:num w:numId="16">
    <w:abstractNumId w:val="14"/>
  </w:num>
  <w:num w:numId="17">
    <w:abstractNumId w:val="21"/>
  </w:num>
  <w:num w:numId="18">
    <w:abstractNumId w:val="11"/>
  </w:num>
  <w:num w:numId="19">
    <w:abstractNumId w:val="4"/>
  </w:num>
  <w:num w:numId="20">
    <w:abstractNumId w:val="3"/>
  </w:num>
  <w:num w:numId="21">
    <w:abstractNumId w:val="23"/>
  </w:num>
  <w:num w:numId="22">
    <w:abstractNumId w:val="22"/>
  </w:num>
  <w:num w:numId="23">
    <w:abstractNumId w:val="8"/>
  </w:num>
  <w:num w:numId="24">
    <w:abstractNumId w:val="5"/>
  </w:num>
  <w:num w:numId="25">
    <w:abstractNumId w:val="20"/>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D2"/>
    <w:rsid w:val="00061C86"/>
    <w:rsid w:val="000A17DC"/>
    <w:rsid w:val="000A6C9B"/>
    <w:rsid w:val="000C4A17"/>
    <w:rsid w:val="000D5E83"/>
    <w:rsid w:val="0010192F"/>
    <w:rsid w:val="001129B1"/>
    <w:rsid w:val="0012131F"/>
    <w:rsid w:val="00122715"/>
    <w:rsid w:val="00131167"/>
    <w:rsid w:val="001735A2"/>
    <w:rsid w:val="001D3744"/>
    <w:rsid w:val="001F76EC"/>
    <w:rsid w:val="00212169"/>
    <w:rsid w:val="002430D0"/>
    <w:rsid w:val="00253F16"/>
    <w:rsid w:val="002B0CFB"/>
    <w:rsid w:val="002C0415"/>
    <w:rsid w:val="00353F7A"/>
    <w:rsid w:val="003610B9"/>
    <w:rsid w:val="00386D80"/>
    <w:rsid w:val="003A6B9B"/>
    <w:rsid w:val="003C22A5"/>
    <w:rsid w:val="003C6425"/>
    <w:rsid w:val="003E756C"/>
    <w:rsid w:val="00401873"/>
    <w:rsid w:val="0046436A"/>
    <w:rsid w:val="004734FD"/>
    <w:rsid w:val="00490FE4"/>
    <w:rsid w:val="00491BCB"/>
    <w:rsid w:val="00491E14"/>
    <w:rsid w:val="004B0D44"/>
    <w:rsid w:val="004F6660"/>
    <w:rsid w:val="00515E11"/>
    <w:rsid w:val="00524BF0"/>
    <w:rsid w:val="00553393"/>
    <w:rsid w:val="005757D2"/>
    <w:rsid w:val="00577A8E"/>
    <w:rsid w:val="005866A8"/>
    <w:rsid w:val="005E4F77"/>
    <w:rsid w:val="006005D8"/>
    <w:rsid w:val="006062D9"/>
    <w:rsid w:val="006156F5"/>
    <w:rsid w:val="00623C62"/>
    <w:rsid w:val="00635A97"/>
    <w:rsid w:val="006465DB"/>
    <w:rsid w:val="00660E1D"/>
    <w:rsid w:val="006D28F7"/>
    <w:rsid w:val="006D6ED2"/>
    <w:rsid w:val="00752A24"/>
    <w:rsid w:val="007639AD"/>
    <w:rsid w:val="007C3513"/>
    <w:rsid w:val="007D2A49"/>
    <w:rsid w:val="008D073C"/>
    <w:rsid w:val="008F0DCD"/>
    <w:rsid w:val="009003BF"/>
    <w:rsid w:val="0094083F"/>
    <w:rsid w:val="009469A5"/>
    <w:rsid w:val="00990378"/>
    <w:rsid w:val="009A0BBC"/>
    <w:rsid w:val="009B3D20"/>
    <w:rsid w:val="00A42E08"/>
    <w:rsid w:val="00A7197E"/>
    <w:rsid w:val="00A94BA0"/>
    <w:rsid w:val="00A96FC8"/>
    <w:rsid w:val="00B04940"/>
    <w:rsid w:val="00B12E1F"/>
    <w:rsid w:val="00B410A8"/>
    <w:rsid w:val="00B472C4"/>
    <w:rsid w:val="00B6172C"/>
    <w:rsid w:val="00BA7232"/>
    <w:rsid w:val="00BC33D5"/>
    <w:rsid w:val="00BE0602"/>
    <w:rsid w:val="00BF4E45"/>
    <w:rsid w:val="00C20CAF"/>
    <w:rsid w:val="00C353B5"/>
    <w:rsid w:val="00C355D8"/>
    <w:rsid w:val="00C369E2"/>
    <w:rsid w:val="00C83C41"/>
    <w:rsid w:val="00CA1193"/>
    <w:rsid w:val="00CB2FB4"/>
    <w:rsid w:val="00CE61A2"/>
    <w:rsid w:val="00D014E1"/>
    <w:rsid w:val="00D06AE9"/>
    <w:rsid w:val="00D26AFD"/>
    <w:rsid w:val="00D55336"/>
    <w:rsid w:val="00D715CE"/>
    <w:rsid w:val="00D8470F"/>
    <w:rsid w:val="00D877A1"/>
    <w:rsid w:val="00D91326"/>
    <w:rsid w:val="00D97122"/>
    <w:rsid w:val="00D97235"/>
    <w:rsid w:val="00E04E5B"/>
    <w:rsid w:val="00E131D7"/>
    <w:rsid w:val="00E172A8"/>
    <w:rsid w:val="00E426B3"/>
    <w:rsid w:val="00E6787A"/>
    <w:rsid w:val="00E87C1D"/>
    <w:rsid w:val="00EB0898"/>
    <w:rsid w:val="00EB2C01"/>
    <w:rsid w:val="00EB3053"/>
    <w:rsid w:val="00EB54CD"/>
    <w:rsid w:val="00EC5888"/>
    <w:rsid w:val="00EE066E"/>
    <w:rsid w:val="00F4589C"/>
    <w:rsid w:val="00F471C7"/>
    <w:rsid w:val="00F943A6"/>
    <w:rsid w:val="00FA5353"/>
    <w:rsid w:val="00FC55B4"/>
    <w:rsid w:val="00FC661B"/>
    <w:rsid w:val="00FD4444"/>
    <w:rsid w:val="00FD4DA4"/>
    <w:rsid w:val="00FE0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5987AC"/>
  <w15:chartTrackingRefBased/>
  <w15:docId w15:val="{0B845A3D-FA68-4BB1-87DD-9FAD4794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72C"/>
    <w:pPr>
      <w:spacing w:before="120" w:after="280"/>
      <w:jc w:val="both"/>
    </w:pPr>
    <w:rPr>
      <w:rFonts w:ascii="Arial" w:hAnsi="Arial"/>
    </w:rPr>
  </w:style>
  <w:style w:type="paragraph" w:styleId="Titre1">
    <w:name w:val="heading 1"/>
    <w:basedOn w:val="Normal"/>
    <w:next w:val="Normal"/>
    <w:link w:val="Titre1Car"/>
    <w:uiPriority w:val="9"/>
    <w:qFormat/>
    <w:rsid w:val="00EB3053"/>
    <w:pPr>
      <w:keepNext/>
      <w:keepLines/>
      <w:numPr>
        <w:numId w:val="12"/>
      </w:numPr>
      <w:spacing w:before="240" w:after="0"/>
      <w:outlineLvl w:val="0"/>
    </w:pPr>
    <w:rPr>
      <w:rFonts w:ascii="Trebuchet MS" w:eastAsiaTheme="majorEastAsia" w:hAnsi="Trebuchet MS" w:cstheme="majorBidi"/>
      <w:b/>
      <w:color w:val="2E74B5" w:themeColor="accent1" w:themeShade="BF"/>
      <w:sz w:val="32"/>
      <w:szCs w:val="32"/>
    </w:rPr>
  </w:style>
  <w:style w:type="paragraph" w:styleId="Titre2">
    <w:name w:val="heading 2"/>
    <w:basedOn w:val="Normal"/>
    <w:link w:val="Titre2Car"/>
    <w:uiPriority w:val="9"/>
    <w:qFormat/>
    <w:rsid w:val="00EB3053"/>
    <w:pPr>
      <w:numPr>
        <w:ilvl w:val="1"/>
        <w:numId w:val="12"/>
      </w:numPr>
      <w:spacing w:before="100" w:beforeAutospacing="1" w:after="100" w:afterAutospacing="1" w:line="240" w:lineRule="auto"/>
      <w:outlineLvl w:val="1"/>
    </w:pPr>
    <w:rPr>
      <w:rFonts w:ascii="Trebuchet MS" w:eastAsia="Times New Roman" w:hAnsi="Trebuchet MS" w:cs="Times New Roman"/>
      <w:b/>
      <w:bCs/>
      <w:sz w:val="28"/>
      <w:szCs w:val="36"/>
      <w:lang w:eastAsia="fr-FR"/>
    </w:rPr>
  </w:style>
  <w:style w:type="paragraph" w:styleId="Titre3">
    <w:name w:val="heading 3"/>
    <w:basedOn w:val="Normal"/>
    <w:next w:val="Normal"/>
    <w:link w:val="Titre3Car"/>
    <w:uiPriority w:val="9"/>
    <w:semiHidden/>
    <w:unhideWhenUsed/>
    <w:qFormat/>
    <w:rsid w:val="00EB3053"/>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B305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B305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B305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B305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B305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B305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B54CD"/>
    <w:pPr>
      <w:spacing w:before="0" w:after="0" w:line="240" w:lineRule="auto"/>
      <w:ind w:left="720"/>
    </w:pPr>
    <w:rPr>
      <w:rFonts w:cs="Times New Roman"/>
    </w:rPr>
  </w:style>
  <w:style w:type="character" w:customStyle="1" w:styleId="Titre2Car">
    <w:name w:val="Titre 2 Car"/>
    <w:basedOn w:val="Policepardfaut"/>
    <w:link w:val="Titre2"/>
    <w:uiPriority w:val="9"/>
    <w:rsid w:val="00EB3053"/>
    <w:rPr>
      <w:rFonts w:ascii="Trebuchet MS" w:eastAsia="Times New Roman" w:hAnsi="Trebuchet MS" w:cs="Times New Roman"/>
      <w:b/>
      <w:bCs/>
      <w:sz w:val="28"/>
      <w:szCs w:val="36"/>
      <w:lang w:eastAsia="fr-FR"/>
    </w:rPr>
  </w:style>
  <w:style w:type="character" w:styleId="Lienhypertexte">
    <w:name w:val="Hyperlink"/>
    <w:basedOn w:val="Policepardfaut"/>
    <w:uiPriority w:val="99"/>
    <w:unhideWhenUsed/>
    <w:rsid w:val="00B12E1F"/>
    <w:rPr>
      <w:color w:val="0563C1" w:themeColor="hyperlink"/>
      <w:u w:val="single"/>
    </w:rPr>
  </w:style>
  <w:style w:type="character" w:styleId="Accentuation">
    <w:name w:val="Emphasis"/>
    <w:basedOn w:val="Policepardfaut"/>
    <w:uiPriority w:val="20"/>
    <w:qFormat/>
    <w:rsid w:val="00B12E1F"/>
    <w:rPr>
      <w:i/>
      <w:iCs/>
    </w:rPr>
  </w:style>
  <w:style w:type="paragraph" w:styleId="NormalWeb">
    <w:name w:val="Normal (Web)"/>
    <w:basedOn w:val="Normal"/>
    <w:uiPriority w:val="99"/>
    <w:semiHidden/>
    <w:unhideWhenUsed/>
    <w:rsid w:val="00763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7D2A49"/>
    <w:rPr>
      <w:color w:val="954F72" w:themeColor="followedHyperlink"/>
      <w:u w:val="single"/>
    </w:rPr>
  </w:style>
  <w:style w:type="character" w:customStyle="1" w:styleId="Titre1Car">
    <w:name w:val="Titre 1 Car"/>
    <w:basedOn w:val="Policepardfaut"/>
    <w:link w:val="Titre1"/>
    <w:uiPriority w:val="9"/>
    <w:rsid w:val="00EB3053"/>
    <w:rPr>
      <w:rFonts w:ascii="Trebuchet MS" w:eastAsiaTheme="majorEastAsia" w:hAnsi="Trebuchet MS" w:cstheme="majorBidi"/>
      <w:b/>
      <w:color w:val="2E74B5" w:themeColor="accent1" w:themeShade="BF"/>
      <w:sz w:val="32"/>
      <w:szCs w:val="32"/>
    </w:rPr>
  </w:style>
  <w:style w:type="paragraph" w:styleId="En-ttedetabledesmatires">
    <w:name w:val="TOC Heading"/>
    <w:basedOn w:val="Titre1"/>
    <w:next w:val="Normal"/>
    <w:uiPriority w:val="39"/>
    <w:unhideWhenUsed/>
    <w:qFormat/>
    <w:rsid w:val="003A6B9B"/>
    <w:pPr>
      <w:outlineLvl w:val="9"/>
    </w:pPr>
    <w:rPr>
      <w:lang w:eastAsia="fr-FR"/>
    </w:rPr>
  </w:style>
  <w:style w:type="paragraph" w:styleId="TM2">
    <w:name w:val="toc 2"/>
    <w:basedOn w:val="Normal"/>
    <w:next w:val="Normal"/>
    <w:autoRedefine/>
    <w:uiPriority w:val="39"/>
    <w:unhideWhenUsed/>
    <w:rsid w:val="00B472C4"/>
    <w:pPr>
      <w:tabs>
        <w:tab w:val="left" w:pos="880"/>
        <w:tab w:val="right" w:leader="dot" w:pos="9062"/>
      </w:tabs>
      <w:spacing w:after="100"/>
      <w:ind w:left="284"/>
    </w:pPr>
    <w:rPr>
      <w:rFonts w:ascii="Trebuchet MS" w:hAnsi="Trebuchet MS"/>
      <w:b/>
      <w:sz w:val="20"/>
      <w:szCs w:val="20"/>
    </w:rPr>
  </w:style>
  <w:style w:type="paragraph" w:styleId="TM1">
    <w:name w:val="toc 1"/>
    <w:basedOn w:val="Normal"/>
    <w:next w:val="Normal"/>
    <w:autoRedefine/>
    <w:uiPriority w:val="39"/>
    <w:unhideWhenUsed/>
    <w:rsid w:val="003A6B9B"/>
    <w:pPr>
      <w:spacing w:after="100"/>
    </w:pPr>
    <w:rPr>
      <w:rFonts w:ascii="Trebuchet MS" w:eastAsiaTheme="minorEastAsia" w:hAnsi="Trebuchet MS" w:cs="Times New Roman"/>
      <w:b/>
      <w:bCs/>
      <w:sz w:val="24"/>
      <w:szCs w:val="24"/>
      <w:lang w:eastAsia="fr-FR"/>
    </w:rPr>
  </w:style>
  <w:style w:type="paragraph" w:styleId="TM3">
    <w:name w:val="toc 3"/>
    <w:basedOn w:val="Normal"/>
    <w:next w:val="Normal"/>
    <w:autoRedefine/>
    <w:uiPriority w:val="39"/>
    <w:unhideWhenUsed/>
    <w:rsid w:val="003A6B9B"/>
    <w:pPr>
      <w:spacing w:after="100"/>
      <w:ind w:left="440"/>
    </w:pPr>
    <w:rPr>
      <w:rFonts w:eastAsiaTheme="minorEastAsia" w:cs="Times New Roman"/>
      <w:lang w:eastAsia="fr-FR"/>
    </w:rPr>
  </w:style>
  <w:style w:type="table" w:styleId="Grilledutableau">
    <w:name w:val="Table Grid"/>
    <w:basedOn w:val="TableauNormal"/>
    <w:uiPriority w:val="39"/>
    <w:rsid w:val="0055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3C62"/>
    <w:pPr>
      <w:tabs>
        <w:tab w:val="center" w:pos="4536"/>
        <w:tab w:val="right" w:pos="9072"/>
      </w:tabs>
      <w:spacing w:after="0" w:line="240" w:lineRule="auto"/>
    </w:pPr>
  </w:style>
  <w:style w:type="character" w:customStyle="1" w:styleId="En-tteCar">
    <w:name w:val="En-tête Car"/>
    <w:basedOn w:val="Policepardfaut"/>
    <w:link w:val="En-tte"/>
    <w:uiPriority w:val="99"/>
    <w:rsid w:val="00623C62"/>
  </w:style>
  <w:style w:type="paragraph" w:styleId="Pieddepage">
    <w:name w:val="footer"/>
    <w:basedOn w:val="Normal"/>
    <w:link w:val="PieddepageCar"/>
    <w:uiPriority w:val="99"/>
    <w:unhideWhenUsed/>
    <w:rsid w:val="00623C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C62"/>
  </w:style>
  <w:style w:type="character" w:styleId="Marquedecommentaire">
    <w:name w:val="annotation reference"/>
    <w:basedOn w:val="Policepardfaut"/>
    <w:uiPriority w:val="99"/>
    <w:semiHidden/>
    <w:unhideWhenUsed/>
    <w:rsid w:val="00490FE4"/>
    <w:rPr>
      <w:sz w:val="16"/>
      <w:szCs w:val="16"/>
    </w:rPr>
  </w:style>
  <w:style w:type="paragraph" w:styleId="Commentaire">
    <w:name w:val="annotation text"/>
    <w:basedOn w:val="Normal"/>
    <w:link w:val="CommentaireCar"/>
    <w:uiPriority w:val="99"/>
    <w:semiHidden/>
    <w:unhideWhenUsed/>
    <w:rsid w:val="00490FE4"/>
    <w:pPr>
      <w:spacing w:line="240" w:lineRule="auto"/>
    </w:pPr>
    <w:rPr>
      <w:sz w:val="20"/>
      <w:szCs w:val="20"/>
    </w:rPr>
  </w:style>
  <w:style w:type="character" w:customStyle="1" w:styleId="CommentaireCar">
    <w:name w:val="Commentaire Car"/>
    <w:basedOn w:val="Policepardfaut"/>
    <w:link w:val="Commentaire"/>
    <w:uiPriority w:val="99"/>
    <w:semiHidden/>
    <w:rsid w:val="00490FE4"/>
    <w:rPr>
      <w:sz w:val="20"/>
      <w:szCs w:val="20"/>
    </w:rPr>
  </w:style>
  <w:style w:type="paragraph" w:styleId="Objetducommentaire">
    <w:name w:val="annotation subject"/>
    <w:basedOn w:val="Commentaire"/>
    <w:next w:val="Commentaire"/>
    <w:link w:val="ObjetducommentaireCar"/>
    <w:uiPriority w:val="99"/>
    <w:semiHidden/>
    <w:unhideWhenUsed/>
    <w:rsid w:val="00490FE4"/>
    <w:rPr>
      <w:b/>
      <w:bCs/>
    </w:rPr>
  </w:style>
  <w:style w:type="character" w:customStyle="1" w:styleId="ObjetducommentaireCar">
    <w:name w:val="Objet du commentaire Car"/>
    <w:basedOn w:val="CommentaireCar"/>
    <w:link w:val="Objetducommentaire"/>
    <w:uiPriority w:val="99"/>
    <w:semiHidden/>
    <w:rsid w:val="00490FE4"/>
    <w:rPr>
      <w:b/>
      <w:bCs/>
      <w:sz w:val="20"/>
      <w:szCs w:val="20"/>
    </w:rPr>
  </w:style>
  <w:style w:type="paragraph" w:styleId="Textedebulles">
    <w:name w:val="Balloon Text"/>
    <w:basedOn w:val="Normal"/>
    <w:link w:val="TextedebullesCar"/>
    <w:uiPriority w:val="99"/>
    <w:semiHidden/>
    <w:unhideWhenUsed/>
    <w:rsid w:val="00490F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0FE4"/>
    <w:rPr>
      <w:rFonts w:ascii="Segoe UI" w:hAnsi="Segoe UI" w:cs="Segoe UI"/>
      <w:sz w:val="18"/>
      <w:szCs w:val="18"/>
    </w:rPr>
  </w:style>
  <w:style w:type="character" w:customStyle="1" w:styleId="Titre3Car">
    <w:name w:val="Titre 3 Car"/>
    <w:basedOn w:val="Policepardfaut"/>
    <w:link w:val="Titre3"/>
    <w:uiPriority w:val="9"/>
    <w:semiHidden/>
    <w:rsid w:val="00EB305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EB3053"/>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B3053"/>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EB3053"/>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EB3053"/>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B305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B3053"/>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D8470F"/>
    <w:pPr>
      <w:spacing w:after="0" w:line="240" w:lineRule="auto"/>
    </w:pPr>
    <w:rPr>
      <w:rFonts w:eastAsia="Cambria" w:cs="Arial"/>
      <w:b/>
      <w:color w:val="5B9BD5" w:themeColor="accent1"/>
      <w:sz w:val="32"/>
      <w:szCs w:val="32"/>
    </w:rPr>
  </w:style>
  <w:style w:type="character" w:customStyle="1" w:styleId="TitreCar">
    <w:name w:val="Titre Car"/>
    <w:basedOn w:val="Policepardfaut"/>
    <w:link w:val="Titre"/>
    <w:uiPriority w:val="10"/>
    <w:rsid w:val="00D8470F"/>
    <w:rPr>
      <w:rFonts w:ascii="Arial" w:eastAsia="Cambria" w:hAnsi="Arial" w:cs="Arial"/>
      <w:b/>
      <w:color w:val="5B9BD5" w:themeColor="accent1"/>
      <w:sz w:val="32"/>
      <w:szCs w:val="32"/>
    </w:rPr>
  </w:style>
  <w:style w:type="paragraph" w:styleId="Sous-titre">
    <w:name w:val="Subtitle"/>
    <w:basedOn w:val="Normal"/>
    <w:next w:val="Normal"/>
    <w:link w:val="Sous-titreCar"/>
    <w:uiPriority w:val="11"/>
    <w:qFormat/>
    <w:rsid w:val="00D8470F"/>
    <w:pPr>
      <w:spacing w:before="360" w:after="120" w:line="240" w:lineRule="auto"/>
    </w:pPr>
    <w:rPr>
      <w:rFonts w:eastAsia="Cambria" w:cs="Arial"/>
      <w:b/>
      <w:color w:val="5B9BD5" w:themeColor="accent1"/>
      <w:sz w:val="28"/>
      <w:szCs w:val="28"/>
    </w:rPr>
  </w:style>
  <w:style w:type="character" w:customStyle="1" w:styleId="Sous-titreCar">
    <w:name w:val="Sous-titre Car"/>
    <w:basedOn w:val="Policepardfaut"/>
    <w:link w:val="Sous-titre"/>
    <w:uiPriority w:val="11"/>
    <w:rsid w:val="00D8470F"/>
    <w:rPr>
      <w:rFonts w:ascii="Arial" w:eastAsia="Cambria" w:hAnsi="Arial" w:cs="Arial"/>
      <w:b/>
      <w:color w:val="5B9BD5" w:themeColor="accent1"/>
      <w:sz w:val="28"/>
      <w:szCs w:val="28"/>
    </w:rPr>
  </w:style>
  <w:style w:type="paragraph" w:customStyle="1" w:styleId="pieddepageadresse">
    <w:name w:val="pied de page adresse"/>
    <w:basedOn w:val="Normal"/>
    <w:link w:val="pieddepageadresseCar"/>
    <w:qFormat/>
    <w:rsid w:val="00B6172C"/>
    <w:rPr>
      <w:sz w:val="16"/>
      <w:szCs w:val="16"/>
    </w:rPr>
  </w:style>
  <w:style w:type="paragraph" w:customStyle="1" w:styleId="Typedefichehautdepage">
    <w:name w:val="Type de fiche haut de page"/>
    <w:basedOn w:val="Titre"/>
    <w:link w:val="TypedefichehautdepageCar"/>
    <w:qFormat/>
    <w:rsid w:val="00B6172C"/>
    <w:pPr>
      <w:jc w:val="right"/>
    </w:pPr>
  </w:style>
  <w:style w:type="character" w:customStyle="1" w:styleId="pieddepageadresseCar">
    <w:name w:val="pied de page adresse Car"/>
    <w:basedOn w:val="Policepardfaut"/>
    <w:link w:val="pieddepageadresse"/>
    <w:rsid w:val="00B6172C"/>
    <w:rPr>
      <w:rFonts w:ascii="Arial" w:hAnsi="Arial"/>
      <w:sz w:val="16"/>
      <w:szCs w:val="16"/>
    </w:rPr>
  </w:style>
  <w:style w:type="paragraph" w:customStyle="1" w:styleId="Titredudocument">
    <w:name w:val="Titre du document"/>
    <w:basedOn w:val="Titre"/>
    <w:link w:val="TitredudocumentCar"/>
    <w:qFormat/>
    <w:rsid w:val="00B6172C"/>
    <w:rPr>
      <w:sz w:val="40"/>
      <w:szCs w:val="40"/>
    </w:rPr>
  </w:style>
  <w:style w:type="character" w:customStyle="1" w:styleId="TypedefichehautdepageCar">
    <w:name w:val="Type de fiche haut de page Car"/>
    <w:basedOn w:val="TitreCar"/>
    <w:link w:val="Typedefichehautdepage"/>
    <w:rsid w:val="00B6172C"/>
    <w:rPr>
      <w:rFonts w:ascii="Arial" w:eastAsia="Cambria" w:hAnsi="Arial" w:cs="Arial"/>
      <w:b/>
      <w:color w:val="5B9BD5" w:themeColor="accent1"/>
      <w:sz w:val="32"/>
      <w:szCs w:val="32"/>
    </w:rPr>
  </w:style>
  <w:style w:type="paragraph" w:customStyle="1" w:styleId="licenceouverte">
    <w:name w:val="licence ouverte"/>
    <w:basedOn w:val="Paragraphedeliste"/>
    <w:link w:val="licenceouverteCar"/>
    <w:qFormat/>
    <w:rsid w:val="00B6172C"/>
    <w:rPr>
      <w:noProof/>
      <w:sz w:val="16"/>
      <w:szCs w:val="16"/>
      <w:lang w:eastAsia="fr-FR"/>
    </w:rPr>
  </w:style>
  <w:style w:type="character" w:customStyle="1" w:styleId="TitredudocumentCar">
    <w:name w:val="Titre du document Car"/>
    <w:basedOn w:val="TitreCar"/>
    <w:link w:val="Titredudocument"/>
    <w:rsid w:val="00B6172C"/>
    <w:rPr>
      <w:rFonts w:ascii="Arial" w:eastAsia="Cambria" w:hAnsi="Arial" w:cs="Arial"/>
      <w:b/>
      <w:color w:val="5B9BD5" w:themeColor="accent1"/>
      <w:sz w:val="40"/>
      <w:szCs w:val="40"/>
    </w:rPr>
  </w:style>
  <w:style w:type="character" w:customStyle="1" w:styleId="ParagraphedelisteCar">
    <w:name w:val="Paragraphe de liste Car"/>
    <w:basedOn w:val="Policepardfaut"/>
    <w:link w:val="Paragraphedeliste"/>
    <w:uiPriority w:val="34"/>
    <w:rsid w:val="00B6172C"/>
    <w:rPr>
      <w:rFonts w:ascii="Arial" w:hAnsi="Arial" w:cs="Times New Roman"/>
    </w:rPr>
  </w:style>
  <w:style w:type="character" w:customStyle="1" w:styleId="licenceouverteCar">
    <w:name w:val="licence ouverte Car"/>
    <w:basedOn w:val="ParagraphedelisteCar"/>
    <w:link w:val="licenceouverte"/>
    <w:rsid w:val="00B6172C"/>
    <w:rPr>
      <w:rFonts w:ascii="Arial" w:hAnsi="Arial" w:cs="Times New Roman"/>
      <w:noProof/>
      <w:sz w:val="16"/>
      <w:szCs w:val="16"/>
      <w:lang w:eastAsia="fr-FR"/>
    </w:rPr>
  </w:style>
  <w:style w:type="paragraph" w:styleId="Rvision">
    <w:name w:val="Revision"/>
    <w:hidden/>
    <w:uiPriority w:val="99"/>
    <w:semiHidden/>
    <w:rsid w:val="006D28F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1">
      <w:bodyDiv w:val="1"/>
      <w:marLeft w:val="0"/>
      <w:marRight w:val="0"/>
      <w:marTop w:val="0"/>
      <w:marBottom w:val="0"/>
      <w:divBdr>
        <w:top w:val="none" w:sz="0" w:space="0" w:color="auto"/>
        <w:left w:val="none" w:sz="0" w:space="0" w:color="auto"/>
        <w:bottom w:val="none" w:sz="0" w:space="0" w:color="auto"/>
        <w:right w:val="none" w:sz="0" w:space="0" w:color="auto"/>
      </w:divBdr>
    </w:div>
    <w:div w:id="164324060">
      <w:bodyDiv w:val="1"/>
      <w:marLeft w:val="0"/>
      <w:marRight w:val="0"/>
      <w:marTop w:val="0"/>
      <w:marBottom w:val="0"/>
      <w:divBdr>
        <w:top w:val="none" w:sz="0" w:space="0" w:color="auto"/>
        <w:left w:val="none" w:sz="0" w:space="0" w:color="auto"/>
        <w:bottom w:val="none" w:sz="0" w:space="0" w:color="auto"/>
        <w:right w:val="none" w:sz="0" w:space="0" w:color="auto"/>
      </w:divBdr>
    </w:div>
    <w:div w:id="352803822">
      <w:bodyDiv w:val="1"/>
      <w:marLeft w:val="0"/>
      <w:marRight w:val="0"/>
      <w:marTop w:val="0"/>
      <w:marBottom w:val="0"/>
      <w:divBdr>
        <w:top w:val="none" w:sz="0" w:space="0" w:color="auto"/>
        <w:left w:val="none" w:sz="0" w:space="0" w:color="auto"/>
        <w:bottom w:val="none" w:sz="0" w:space="0" w:color="auto"/>
        <w:right w:val="none" w:sz="0" w:space="0" w:color="auto"/>
      </w:divBdr>
    </w:div>
    <w:div w:id="507018414">
      <w:bodyDiv w:val="1"/>
      <w:marLeft w:val="0"/>
      <w:marRight w:val="0"/>
      <w:marTop w:val="0"/>
      <w:marBottom w:val="0"/>
      <w:divBdr>
        <w:top w:val="none" w:sz="0" w:space="0" w:color="auto"/>
        <w:left w:val="none" w:sz="0" w:space="0" w:color="auto"/>
        <w:bottom w:val="none" w:sz="0" w:space="0" w:color="auto"/>
        <w:right w:val="none" w:sz="0" w:space="0" w:color="auto"/>
      </w:divBdr>
      <w:divsChild>
        <w:div w:id="127893130">
          <w:marLeft w:val="360"/>
          <w:marRight w:val="0"/>
          <w:marTop w:val="200"/>
          <w:marBottom w:val="0"/>
          <w:divBdr>
            <w:top w:val="none" w:sz="0" w:space="0" w:color="auto"/>
            <w:left w:val="none" w:sz="0" w:space="0" w:color="auto"/>
            <w:bottom w:val="none" w:sz="0" w:space="0" w:color="auto"/>
            <w:right w:val="none" w:sz="0" w:space="0" w:color="auto"/>
          </w:divBdr>
        </w:div>
      </w:divsChild>
    </w:div>
    <w:div w:id="601760954">
      <w:bodyDiv w:val="1"/>
      <w:marLeft w:val="0"/>
      <w:marRight w:val="0"/>
      <w:marTop w:val="0"/>
      <w:marBottom w:val="0"/>
      <w:divBdr>
        <w:top w:val="none" w:sz="0" w:space="0" w:color="auto"/>
        <w:left w:val="none" w:sz="0" w:space="0" w:color="auto"/>
        <w:bottom w:val="none" w:sz="0" w:space="0" w:color="auto"/>
        <w:right w:val="none" w:sz="0" w:space="0" w:color="auto"/>
      </w:divBdr>
    </w:div>
    <w:div w:id="737900187">
      <w:bodyDiv w:val="1"/>
      <w:marLeft w:val="0"/>
      <w:marRight w:val="0"/>
      <w:marTop w:val="0"/>
      <w:marBottom w:val="0"/>
      <w:divBdr>
        <w:top w:val="none" w:sz="0" w:space="0" w:color="auto"/>
        <w:left w:val="none" w:sz="0" w:space="0" w:color="auto"/>
        <w:bottom w:val="none" w:sz="0" w:space="0" w:color="auto"/>
        <w:right w:val="none" w:sz="0" w:space="0" w:color="auto"/>
      </w:divBdr>
      <w:divsChild>
        <w:div w:id="1645232978">
          <w:marLeft w:val="0"/>
          <w:marRight w:val="0"/>
          <w:marTop w:val="0"/>
          <w:marBottom w:val="0"/>
          <w:divBdr>
            <w:top w:val="none" w:sz="0" w:space="0" w:color="auto"/>
            <w:left w:val="none" w:sz="0" w:space="0" w:color="auto"/>
            <w:bottom w:val="none" w:sz="0" w:space="0" w:color="auto"/>
            <w:right w:val="none" w:sz="0" w:space="0" w:color="auto"/>
          </w:divBdr>
          <w:divsChild>
            <w:div w:id="146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2822">
      <w:bodyDiv w:val="1"/>
      <w:marLeft w:val="0"/>
      <w:marRight w:val="0"/>
      <w:marTop w:val="0"/>
      <w:marBottom w:val="0"/>
      <w:divBdr>
        <w:top w:val="none" w:sz="0" w:space="0" w:color="auto"/>
        <w:left w:val="none" w:sz="0" w:space="0" w:color="auto"/>
        <w:bottom w:val="none" w:sz="0" w:space="0" w:color="auto"/>
        <w:right w:val="none" w:sz="0" w:space="0" w:color="auto"/>
      </w:divBdr>
    </w:div>
    <w:div w:id="1268349263">
      <w:bodyDiv w:val="1"/>
      <w:marLeft w:val="0"/>
      <w:marRight w:val="0"/>
      <w:marTop w:val="0"/>
      <w:marBottom w:val="0"/>
      <w:divBdr>
        <w:top w:val="none" w:sz="0" w:space="0" w:color="auto"/>
        <w:left w:val="none" w:sz="0" w:space="0" w:color="auto"/>
        <w:bottom w:val="none" w:sz="0" w:space="0" w:color="auto"/>
        <w:right w:val="none" w:sz="0" w:space="0" w:color="auto"/>
      </w:divBdr>
    </w:div>
    <w:div w:id="19528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69B2-293B-4437-AE51-C6AD5727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cdg-nord</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WAMBEKE</dc:creator>
  <cp:keywords/>
  <dc:description/>
  <cp:lastModifiedBy>Guy DECLOQUEMENT</cp:lastModifiedBy>
  <cp:revision>3</cp:revision>
  <cp:lastPrinted>2021-12-17T10:20:00Z</cp:lastPrinted>
  <dcterms:created xsi:type="dcterms:W3CDTF">2021-12-17T10:21:00Z</dcterms:created>
  <dcterms:modified xsi:type="dcterms:W3CDTF">2021-12-17T12:39:00Z</dcterms:modified>
</cp:coreProperties>
</file>